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673" w:rsidRPr="003D31EE" w:rsidRDefault="00106673" w:rsidP="00106673">
      <w:pPr>
        <w:pStyle w:val="Title"/>
        <w:rPr>
          <w:rFonts w:ascii="Garamond" w:hAnsi="Garamond"/>
          <w:sz w:val="28"/>
          <w:szCs w:val="28"/>
        </w:rPr>
      </w:pPr>
      <w:r w:rsidRPr="003D31EE">
        <w:rPr>
          <w:rFonts w:ascii="Garamond" w:hAnsi="Garamond"/>
          <w:sz w:val="28"/>
          <w:szCs w:val="28"/>
        </w:rPr>
        <w:t>Solutions – Second City Options</w:t>
      </w:r>
    </w:p>
    <w:p w:rsidR="00106673" w:rsidRPr="009D48F0" w:rsidRDefault="00106673" w:rsidP="00106673">
      <w:pPr>
        <w:pStyle w:val="Subtitle"/>
        <w:spacing w:before="240"/>
        <w:rPr>
          <w:rFonts w:ascii="Garamond" w:hAnsi="Garamond"/>
          <w:b/>
          <w:sz w:val="22"/>
          <w:szCs w:val="22"/>
        </w:rPr>
      </w:pPr>
      <w:r w:rsidRPr="005D6084">
        <w:rPr>
          <w:rFonts w:ascii="Garamond" w:hAnsi="Garamond"/>
          <w:b/>
        </w:rPr>
        <w:t>Don Chance, Brendan Condon, and Michael Hemler</w:t>
      </w:r>
      <w:r w:rsidRPr="009D48F0">
        <w:rPr>
          <w:rStyle w:val="FootnoteReference"/>
          <w:rFonts w:ascii="Garamond" w:hAnsi="Garamond"/>
          <w:b/>
          <w:sz w:val="22"/>
          <w:szCs w:val="22"/>
        </w:rPr>
        <w:footnoteReference w:id="2"/>
      </w:r>
    </w:p>
    <w:p w:rsidR="00106673" w:rsidRDefault="00106673" w:rsidP="00106673">
      <w:pPr>
        <w:rPr>
          <w:rFonts w:ascii="Garamond" w:hAnsi="Garamond"/>
          <w:sz w:val="22"/>
          <w:szCs w:val="22"/>
        </w:rPr>
      </w:pPr>
    </w:p>
    <w:p w:rsidR="00106673" w:rsidRPr="00D21F83" w:rsidRDefault="00106673" w:rsidP="00106673">
      <w:pPr>
        <w:jc w:val="center"/>
        <w:rPr>
          <w:rFonts w:ascii="Garamond" w:hAnsi="Garamond"/>
          <w:b/>
          <w:sz w:val="22"/>
          <w:szCs w:val="22"/>
        </w:rPr>
      </w:pPr>
      <w:r w:rsidRPr="00D21F83">
        <w:rPr>
          <w:rFonts w:ascii="Garamond" w:hAnsi="Garamond"/>
          <w:b/>
          <w:sz w:val="22"/>
          <w:szCs w:val="22"/>
        </w:rPr>
        <w:t xml:space="preserve">(Version:  </w:t>
      </w:r>
      <w:r>
        <w:rPr>
          <w:rFonts w:ascii="Garamond" w:hAnsi="Garamond"/>
          <w:b/>
          <w:sz w:val="22"/>
          <w:szCs w:val="22"/>
        </w:rPr>
        <w:t>August 30, 2011</w:t>
      </w:r>
      <w:r w:rsidRPr="00D21F83">
        <w:rPr>
          <w:rFonts w:ascii="Garamond" w:hAnsi="Garamond"/>
          <w:b/>
          <w:sz w:val="22"/>
          <w:szCs w:val="22"/>
        </w:rPr>
        <w:t>)</w:t>
      </w:r>
    </w:p>
    <w:p w:rsidR="00106673" w:rsidRPr="0059486F" w:rsidRDefault="00106673" w:rsidP="00106673">
      <w:pPr>
        <w:rPr>
          <w:rFonts w:ascii="Garamond" w:hAnsi="Garamond"/>
          <w:sz w:val="22"/>
          <w:szCs w:val="22"/>
        </w:rPr>
      </w:pPr>
    </w:p>
    <w:p w:rsidR="00106673" w:rsidRPr="0059486F" w:rsidRDefault="00106673" w:rsidP="00106673">
      <w:pPr>
        <w:jc w:val="center"/>
        <w:rPr>
          <w:rFonts w:ascii="Garamond" w:hAnsi="Garamond"/>
          <w:b/>
          <w:sz w:val="22"/>
          <w:szCs w:val="22"/>
        </w:rPr>
      </w:pPr>
      <w:r w:rsidRPr="0059486F">
        <w:rPr>
          <w:rFonts w:ascii="Garamond" w:hAnsi="Garamond"/>
          <w:b/>
          <w:sz w:val="22"/>
          <w:szCs w:val="22"/>
        </w:rPr>
        <w:t>Goals</w:t>
      </w:r>
    </w:p>
    <w:p w:rsidR="00106673" w:rsidRPr="0059486F" w:rsidRDefault="00106673" w:rsidP="00106673">
      <w:pPr>
        <w:jc w:val="both"/>
        <w:rPr>
          <w:rFonts w:ascii="Garamond" w:hAnsi="Garamond"/>
          <w:sz w:val="22"/>
          <w:szCs w:val="22"/>
        </w:rPr>
      </w:pPr>
    </w:p>
    <w:p w:rsidR="00106673" w:rsidRPr="0059486F" w:rsidRDefault="00106673" w:rsidP="00106673">
      <w:pPr>
        <w:numPr>
          <w:ilvl w:val="0"/>
          <w:numId w:val="3"/>
        </w:numPr>
        <w:jc w:val="both"/>
        <w:rPr>
          <w:rFonts w:ascii="Garamond" w:hAnsi="Garamond"/>
          <w:sz w:val="22"/>
          <w:szCs w:val="22"/>
        </w:rPr>
      </w:pPr>
      <w:r w:rsidRPr="0059486F">
        <w:rPr>
          <w:rFonts w:ascii="Garamond" w:hAnsi="Garamond"/>
          <w:sz w:val="22"/>
          <w:szCs w:val="22"/>
        </w:rPr>
        <w:t>Illustrate the importance of volatility in option pricing and the difficulty in estimating it</w:t>
      </w:r>
    </w:p>
    <w:p w:rsidR="00106673" w:rsidRPr="0059486F" w:rsidRDefault="00106673" w:rsidP="00106673">
      <w:pPr>
        <w:numPr>
          <w:ilvl w:val="0"/>
          <w:numId w:val="3"/>
        </w:numPr>
        <w:jc w:val="both"/>
        <w:rPr>
          <w:rFonts w:ascii="Garamond" w:hAnsi="Garamond"/>
          <w:sz w:val="22"/>
          <w:szCs w:val="22"/>
        </w:rPr>
      </w:pPr>
      <w:r w:rsidRPr="0059486F">
        <w:rPr>
          <w:rFonts w:ascii="Garamond" w:hAnsi="Garamond"/>
          <w:sz w:val="22"/>
          <w:szCs w:val="22"/>
        </w:rPr>
        <w:t>Explore relative strengths and weaknesses of the Black-Scholes-Merton and Binomial models</w:t>
      </w:r>
    </w:p>
    <w:p w:rsidR="00106673" w:rsidRPr="0059486F" w:rsidRDefault="00106673" w:rsidP="00106673">
      <w:pPr>
        <w:numPr>
          <w:ilvl w:val="0"/>
          <w:numId w:val="3"/>
        </w:numPr>
        <w:jc w:val="both"/>
        <w:rPr>
          <w:rFonts w:ascii="Garamond" w:hAnsi="Garamond"/>
          <w:sz w:val="22"/>
          <w:szCs w:val="22"/>
        </w:rPr>
      </w:pPr>
      <w:r w:rsidRPr="0059486F">
        <w:rPr>
          <w:rFonts w:ascii="Garamond" w:hAnsi="Garamond"/>
          <w:sz w:val="22"/>
          <w:szCs w:val="22"/>
        </w:rPr>
        <w:t xml:space="preserve">Provide the opportunity for students to analyze various strategies, choose the best alternative, and then defend their choice </w:t>
      </w:r>
      <w:r>
        <w:rPr>
          <w:rFonts w:ascii="Garamond" w:hAnsi="Garamond"/>
          <w:sz w:val="22"/>
          <w:szCs w:val="22"/>
        </w:rPr>
        <w:t>via</w:t>
      </w:r>
      <w:r w:rsidRPr="0059486F">
        <w:rPr>
          <w:rFonts w:ascii="Garamond" w:hAnsi="Garamond"/>
          <w:sz w:val="22"/>
          <w:szCs w:val="22"/>
        </w:rPr>
        <w:t xml:space="preserve"> written and oral arguments </w:t>
      </w:r>
    </w:p>
    <w:p w:rsidR="00106673" w:rsidRPr="0059486F" w:rsidRDefault="00106673" w:rsidP="00106673">
      <w:pPr>
        <w:jc w:val="both"/>
        <w:rPr>
          <w:rFonts w:ascii="Garamond" w:hAnsi="Garamond"/>
          <w:sz w:val="22"/>
          <w:szCs w:val="22"/>
        </w:rPr>
      </w:pPr>
    </w:p>
    <w:p w:rsidR="00106673" w:rsidRPr="0059486F" w:rsidRDefault="00106673" w:rsidP="00106673">
      <w:pPr>
        <w:jc w:val="center"/>
        <w:rPr>
          <w:rFonts w:ascii="Garamond" w:hAnsi="Garamond"/>
          <w:b/>
          <w:sz w:val="22"/>
          <w:szCs w:val="22"/>
        </w:rPr>
      </w:pPr>
      <w:r w:rsidRPr="0059486F">
        <w:rPr>
          <w:rFonts w:ascii="Garamond" w:hAnsi="Garamond"/>
          <w:b/>
          <w:sz w:val="22"/>
          <w:szCs w:val="22"/>
        </w:rPr>
        <w:t>Assumptions</w:t>
      </w:r>
    </w:p>
    <w:p w:rsidR="00106673" w:rsidRPr="0059486F" w:rsidRDefault="00106673" w:rsidP="00106673">
      <w:pPr>
        <w:jc w:val="both"/>
        <w:rPr>
          <w:rFonts w:ascii="Garamond" w:hAnsi="Garamond"/>
          <w:sz w:val="22"/>
          <w:szCs w:val="22"/>
        </w:rPr>
      </w:pPr>
    </w:p>
    <w:p w:rsidR="00106673" w:rsidRPr="0059486F" w:rsidRDefault="00106673" w:rsidP="00106673">
      <w:pPr>
        <w:jc w:val="both"/>
        <w:rPr>
          <w:rFonts w:ascii="Garamond" w:hAnsi="Garamond"/>
          <w:sz w:val="22"/>
          <w:szCs w:val="22"/>
        </w:rPr>
      </w:pPr>
      <w:r w:rsidRPr="0059486F">
        <w:rPr>
          <w:rFonts w:ascii="Garamond" w:hAnsi="Garamond"/>
          <w:sz w:val="22"/>
          <w:szCs w:val="22"/>
        </w:rPr>
        <w:t>These solutions make two key assumptions at the outset to narrow the range of possible answers:</w:t>
      </w:r>
    </w:p>
    <w:p w:rsidR="00106673" w:rsidRPr="0059486F" w:rsidRDefault="00106673" w:rsidP="00106673">
      <w:pPr>
        <w:jc w:val="both"/>
        <w:rPr>
          <w:rFonts w:ascii="Garamond" w:hAnsi="Garamond"/>
          <w:sz w:val="22"/>
          <w:szCs w:val="22"/>
        </w:rPr>
      </w:pPr>
    </w:p>
    <w:p w:rsidR="00106673" w:rsidRPr="0059486F" w:rsidRDefault="00106673" w:rsidP="00106673">
      <w:pPr>
        <w:numPr>
          <w:ilvl w:val="0"/>
          <w:numId w:val="2"/>
        </w:numPr>
        <w:jc w:val="both"/>
        <w:rPr>
          <w:rFonts w:ascii="Garamond" w:hAnsi="Garamond"/>
          <w:sz w:val="22"/>
          <w:szCs w:val="22"/>
        </w:rPr>
      </w:pPr>
      <w:r w:rsidRPr="0059486F">
        <w:rPr>
          <w:rFonts w:ascii="Garamond" w:hAnsi="Garamond"/>
          <w:sz w:val="22"/>
          <w:szCs w:val="22"/>
        </w:rPr>
        <w:t>To obtain a single option price for constructing profit diagrams and calculating implied volatilities, we use the arithmetic mean of the corresponding bid and ask prices.</w:t>
      </w:r>
    </w:p>
    <w:p w:rsidR="00106673" w:rsidRPr="0059486F" w:rsidRDefault="00106673" w:rsidP="00106673">
      <w:pPr>
        <w:numPr>
          <w:ilvl w:val="0"/>
          <w:numId w:val="2"/>
        </w:numPr>
        <w:jc w:val="both"/>
        <w:rPr>
          <w:rFonts w:ascii="Garamond" w:hAnsi="Garamond"/>
          <w:sz w:val="22"/>
          <w:szCs w:val="22"/>
        </w:rPr>
      </w:pPr>
      <w:r w:rsidRPr="0059486F">
        <w:rPr>
          <w:rFonts w:ascii="Garamond" w:hAnsi="Garamond"/>
          <w:sz w:val="22"/>
          <w:szCs w:val="22"/>
        </w:rPr>
        <w:t xml:space="preserve">All strategies are volatility strategies, i.e., strategies that exploit expected changes in volatility.  </w:t>
      </w:r>
    </w:p>
    <w:p w:rsidR="00106673" w:rsidRPr="0059486F" w:rsidRDefault="00106673" w:rsidP="00106673">
      <w:pPr>
        <w:jc w:val="both"/>
        <w:rPr>
          <w:rFonts w:ascii="Garamond" w:hAnsi="Garamond"/>
          <w:sz w:val="22"/>
          <w:szCs w:val="22"/>
        </w:rPr>
      </w:pPr>
    </w:p>
    <w:p w:rsidR="00106673" w:rsidRPr="0059486F" w:rsidRDefault="00106673" w:rsidP="00106673">
      <w:pPr>
        <w:jc w:val="both"/>
        <w:rPr>
          <w:rFonts w:ascii="Garamond" w:hAnsi="Garamond"/>
          <w:sz w:val="22"/>
          <w:szCs w:val="22"/>
        </w:rPr>
      </w:pPr>
      <w:r w:rsidRPr="0059486F">
        <w:rPr>
          <w:rFonts w:ascii="Garamond" w:hAnsi="Garamond"/>
          <w:sz w:val="22"/>
          <w:szCs w:val="22"/>
        </w:rPr>
        <w:t xml:space="preserve">These assumptions represent an attempt to keep the number of “solutions” manageable. The first assumption is critical. It affects all the calculations that follow. If students use different option prices from the start, then their answers continually differ throughout their entire case analyses. This makes checking answers much more difficult, if not outright impossible. It can be time-consuming </w:t>
      </w:r>
      <w:r>
        <w:rPr>
          <w:rFonts w:ascii="Garamond" w:hAnsi="Garamond"/>
          <w:sz w:val="22"/>
          <w:szCs w:val="22"/>
        </w:rPr>
        <w:t xml:space="preserve">and frustrating </w:t>
      </w:r>
      <w:r w:rsidRPr="0059486F">
        <w:rPr>
          <w:rFonts w:ascii="Garamond" w:hAnsi="Garamond"/>
          <w:sz w:val="22"/>
          <w:szCs w:val="22"/>
        </w:rPr>
        <w:t>trying to determine whether slight variations in answers result from different initial data or from subtle methodological errors. The second assumption is also important. Students occasionally pick strategies that do not depend on volatility. For instance, they sometimes recommend bullish or bearish strategies, even arbitrage strategies, based on their reading of the case. Most students, however, choose a strategy based entirely on volatility, which is what the case writers intend. Therefore, we restrict our attention to volatility strategies.</w:t>
      </w:r>
    </w:p>
    <w:p w:rsidR="00106673" w:rsidRPr="0059486F" w:rsidRDefault="00106673" w:rsidP="00106673">
      <w:pPr>
        <w:jc w:val="both"/>
        <w:rPr>
          <w:rFonts w:ascii="Garamond" w:hAnsi="Garamond"/>
          <w:sz w:val="22"/>
          <w:szCs w:val="22"/>
        </w:rPr>
      </w:pPr>
    </w:p>
    <w:p w:rsidR="00106673" w:rsidRPr="0059486F" w:rsidRDefault="00106673" w:rsidP="00106673">
      <w:pPr>
        <w:jc w:val="center"/>
        <w:rPr>
          <w:rFonts w:ascii="Garamond" w:hAnsi="Garamond"/>
          <w:b/>
          <w:sz w:val="22"/>
          <w:szCs w:val="22"/>
        </w:rPr>
      </w:pPr>
      <w:r w:rsidRPr="0059486F">
        <w:rPr>
          <w:rFonts w:ascii="Garamond" w:hAnsi="Garamond"/>
          <w:b/>
          <w:sz w:val="22"/>
          <w:szCs w:val="22"/>
        </w:rPr>
        <w:t>Data</w:t>
      </w:r>
    </w:p>
    <w:p w:rsidR="00106673" w:rsidRPr="0059486F" w:rsidRDefault="00106673" w:rsidP="00106673">
      <w:pPr>
        <w:jc w:val="center"/>
        <w:rPr>
          <w:rFonts w:ascii="Garamond" w:hAnsi="Garamond"/>
          <w:b/>
          <w:sz w:val="22"/>
          <w:szCs w:val="22"/>
        </w:rPr>
      </w:pPr>
    </w:p>
    <w:p w:rsidR="00106673" w:rsidRPr="001C4FB3" w:rsidRDefault="00106673" w:rsidP="00106673">
      <w:pPr>
        <w:jc w:val="both"/>
        <w:rPr>
          <w:rFonts w:ascii="Garamond" w:hAnsi="Garamond"/>
          <w:sz w:val="22"/>
          <w:szCs w:val="22"/>
        </w:rPr>
      </w:pPr>
      <w:r>
        <w:rPr>
          <w:rFonts w:ascii="Garamond" w:hAnsi="Garamond"/>
          <w:sz w:val="22"/>
          <w:szCs w:val="22"/>
        </w:rPr>
        <w:t>We have two general comments regarding the data. First, w</w:t>
      </w:r>
      <w:r w:rsidRPr="0059486F">
        <w:rPr>
          <w:rFonts w:ascii="Garamond" w:hAnsi="Garamond"/>
          <w:sz w:val="22"/>
          <w:szCs w:val="22"/>
        </w:rPr>
        <w:t>e strongly urge professors to discuss features of the real-world data in SCO-Data.xls</w:t>
      </w:r>
      <w:r>
        <w:rPr>
          <w:rFonts w:ascii="Garamond" w:hAnsi="Garamond"/>
          <w:sz w:val="22"/>
          <w:szCs w:val="22"/>
        </w:rPr>
        <w:t xml:space="preserve"> with their students. It is</w:t>
      </w:r>
      <w:r w:rsidRPr="0059486F">
        <w:rPr>
          <w:rFonts w:ascii="Garamond" w:hAnsi="Garamond"/>
          <w:sz w:val="22"/>
          <w:szCs w:val="22"/>
        </w:rPr>
        <w:t xml:space="preserve"> worthwhile noting pros and cons of using averages of bid and ask prices versus alternatives such as transaction prices, bid prices, or ask prices. Different choices can impact the analysis signifi</w:t>
      </w:r>
      <w:r>
        <w:rPr>
          <w:rFonts w:ascii="Garamond" w:hAnsi="Garamond"/>
          <w:sz w:val="22"/>
          <w:szCs w:val="22"/>
        </w:rPr>
        <w:t>cantly. For instance, in Part I a student might</w:t>
      </w:r>
      <w:r w:rsidRPr="0059486F">
        <w:rPr>
          <w:rFonts w:ascii="Garamond" w:hAnsi="Garamond"/>
          <w:sz w:val="22"/>
          <w:szCs w:val="22"/>
        </w:rPr>
        <w:t xml:space="preserve"> analyze a reverse butterfly strategy “conservatively” by buying options at ask prices and selling options at bid prices. This yields profit estimates that are negative for all index values and for both indexes, which generally leads the student to reject this popular volatility strategy immediately</w:t>
      </w:r>
      <w:r>
        <w:rPr>
          <w:rFonts w:ascii="Garamond" w:hAnsi="Garamond"/>
          <w:sz w:val="22"/>
          <w:szCs w:val="22"/>
        </w:rPr>
        <w:t xml:space="preserve">. </w:t>
      </w:r>
      <w:r w:rsidRPr="0059486F">
        <w:rPr>
          <w:rFonts w:ascii="Garamond" w:hAnsi="Garamond"/>
          <w:sz w:val="22"/>
          <w:szCs w:val="22"/>
        </w:rPr>
        <w:t xml:space="preserve"> Hence, </w:t>
      </w:r>
      <w:r>
        <w:rPr>
          <w:rFonts w:ascii="Garamond" w:hAnsi="Garamond"/>
          <w:sz w:val="22"/>
          <w:szCs w:val="22"/>
        </w:rPr>
        <w:t>a</w:t>
      </w:r>
      <w:r w:rsidRPr="0059486F">
        <w:rPr>
          <w:rFonts w:ascii="Garamond" w:hAnsi="Garamond"/>
          <w:sz w:val="22"/>
          <w:szCs w:val="22"/>
        </w:rPr>
        <w:t>lthough i</w:t>
      </w:r>
      <w:r>
        <w:rPr>
          <w:rFonts w:ascii="Garamond" w:hAnsi="Garamond"/>
          <w:sz w:val="22"/>
          <w:szCs w:val="22"/>
        </w:rPr>
        <w:t>t would be</w:t>
      </w:r>
      <w:r w:rsidRPr="0059486F">
        <w:rPr>
          <w:rFonts w:ascii="Garamond" w:hAnsi="Garamond"/>
          <w:sz w:val="22"/>
          <w:szCs w:val="22"/>
        </w:rPr>
        <w:t xml:space="preserve"> simpler to</w:t>
      </w:r>
      <w:r>
        <w:rPr>
          <w:rFonts w:ascii="Garamond" w:hAnsi="Garamond"/>
          <w:sz w:val="22"/>
          <w:szCs w:val="22"/>
        </w:rPr>
        <w:t xml:space="preserve"> give one</w:t>
      </w:r>
      <w:r w:rsidRPr="0059486F">
        <w:rPr>
          <w:rFonts w:ascii="Garamond" w:hAnsi="Garamond"/>
          <w:sz w:val="22"/>
          <w:szCs w:val="22"/>
        </w:rPr>
        <w:t xml:space="preserve"> price for each option, </w:t>
      </w:r>
      <w:r>
        <w:rPr>
          <w:rFonts w:ascii="Garamond" w:hAnsi="Garamond"/>
          <w:sz w:val="22"/>
          <w:szCs w:val="22"/>
        </w:rPr>
        <w:t>we give</w:t>
      </w:r>
      <w:r w:rsidRPr="0059486F">
        <w:rPr>
          <w:rFonts w:ascii="Garamond" w:hAnsi="Garamond"/>
          <w:sz w:val="22"/>
          <w:szCs w:val="22"/>
        </w:rPr>
        <w:t xml:space="preserve"> multiple prices so that students</w:t>
      </w:r>
      <w:r>
        <w:rPr>
          <w:rFonts w:ascii="Garamond" w:hAnsi="Garamond"/>
          <w:sz w:val="22"/>
          <w:szCs w:val="22"/>
        </w:rPr>
        <w:t xml:space="preserve"> can gain</w:t>
      </w:r>
      <w:r w:rsidRPr="0059486F">
        <w:rPr>
          <w:rFonts w:ascii="Garamond" w:hAnsi="Garamond"/>
          <w:sz w:val="22"/>
          <w:szCs w:val="22"/>
        </w:rPr>
        <w:t xml:space="preserve"> insight from considering the alternative data.</w:t>
      </w:r>
      <w:r>
        <w:rPr>
          <w:rFonts w:ascii="Garamond" w:hAnsi="Garamond"/>
          <w:sz w:val="22"/>
          <w:szCs w:val="22"/>
        </w:rPr>
        <w:t xml:space="preserve"> Second, in the data analysis that follows, we use software for the 8</w:t>
      </w:r>
      <w:r w:rsidRPr="00F54353">
        <w:rPr>
          <w:rFonts w:ascii="Garamond" w:hAnsi="Garamond"/>
          <w:sz w:val="22"/>
          <w:szCs w:val="22"/>
          <w:vertAlign w:val="superscript"/>
        </w:rPr>
        <w:t>th</w:t>
      </w:r>
      <w:r>
        <w:rPr>
          <w:rFonts w:ascii="Garamond" w:hAnsi="Garamond"/>
          <w:sz w:val="22"/>
          <w:szCs w:val="22"/>
        </w:rPr>
        <w:t xml:space="preserve"> edition or higher of </w:t>
      </w:r>
      <w:r w:rsidRPr="00A071B8">
        <w:rPr>
          <w:rFonts w:ascii="Garamond" w:hAnsi="Garamond"/>
          <w:i/>
          <w:sz w:val="22"/>
          <w:szCs w:val="22"/>
        </w:rPr>
        <w:t>An Introduction to De</w:t>
      </w:r>
      <w:r>
        <w:rPr>
          <w:rFonts w:ascii="Garamond" w:hAnsi="Garamond"/>
          <w:i/>
          <w:sz w:val="22"/>
          <w:szCs w:val="22"/>
        </w:rPr>
        <w:t>rivatives and Risk Management, 8</w:t>
      </w:r>
      <w:r w:rsidRPr="00A071B8">
        <w:rPr>
          <w:rFonts w:ascii="Garamond" w:hAnsi="Garamond"/>
          <w:i/>
          <w:sz w:val="22"/>
          <w:szCs w:val="22"/>
        </w:rPr>
        <w:t>th ed.</w:t>
      </w:r>
      <w:r>
        <w:rPr>
          <w:rFonts w:ascii="Garamond" w:hAnsi="Garamond"/>
          <w:sz w:val="22"/>
          <w:szCs w:val="22"/>
        </w:rPr>
        <w:t>, by Don M. Chance and Robert Brooks. References to spreadsheets with “8e” in the file are the 8</w:t>
      </w:r>
      <w:r w:rsidRPr="00F54353">
        <w:rPr>
          <w:rFonts w:ascii="Garamond" w:hAnsi="Garamond"/>
          <w:sz w:val="22"/>
          <w:szCs w:val="22"/>
          <w:vertAlign w:val="superscript"/>
        </w:rPr>
        <w:t>th</w:t>
      </w:r>
      <w:r>
        <w:rPr>
          <w:rFonts w:ascii="Garamond" w:hAnsi="Garamond"/>
          <w:sz w:val="22"/>
          <w:szCs w:val="22"/>
        </w:rPr>
        <w:t xml:space="preserve"> edition versions, but more recent versions can be used.</w:t>
      </w:r>
    </w:p>
    <w:p w:rsidR="00106673" w:rsidRDefault="00106673" w:rsidP="00106673">
      <w:pPr>
        <w:jc w:val="center"/>
        <w:rPr>
          <w:rFonts w:ascii="Garamond" w:hAnsi="Garamond"/>
          <w:b/>
          <w:sz w:val="22"/>
          <w:szCs w:val="22"/>
        </w:rPr>
      </w:pPr>
    </w:p>
    <w:p w:rsidR="00106673" w:rsidRPr="00277644" w:rsidRDefault="00106673" w:rsidP="00106673">
      <w:pPr>
        <w:jc w:val="center"/>
        <w:rPr>
          <w:rFonts w:ascii="Garamond" w:hAnsi="Garamond"/>
          <w:b/>
          <w:sz w:val="22"/>
          <w:szCs w:val="22"/>
        </w:rPr>
      </w:pPr>
      <w:r>
        <w:rPr>
          <w:rFonts w:ascii="Garamond" w:hAnsi="Garamond"/>
          <w:b/>
          <w:sz w:val="22"/>
          <w:szCs w:val="22"/>
        </w:rPr>
        <w:t>Part I</w:t>
      </w:r>
    </w:p>
    <w:p w:rsidR="00106673" w:rsidRPr="00277644" w:rsidRDefault="00106673" w:rsidP="00106673">
      <w:pPr>
        <w:jc w:val="both"/>
        <w:rPr>
          <w:rFonts w:ascii="Garamond" w:hAnsi="Garamond"/>
          <w:sz w:val="22"/>
          <w:szCs w:val="22"/>
        </w:rPr>
      </w:pPr>
    </w:p>
    <w:p w:rsidR="00106673" w:rsidRPr="00B2575C" w:rsidRDefault="00106673" w:rsidP="00106673">
      <w:pPr>
        <w:jc w:val="both"/>
        <w:rPr>
          <w:rFonts w:ascii="Garamond" w:hAnsi="Garamond"/>
          <w:sz w:val="22"/>
          <w:szCs w:val="22"/>
          <w:vertAlign w:val="subscript"/>
        </w:rPr>
      </w:pPr>
      <w:r>
        <w:rPr>
          <w:rFonts w:ascii="Garamond" w:hAnsi="Garamond"/>
          <w:sz w:val="22"/>
          <w:szCs w:val="22"/>
        </w:rPr>
        <w:lastRenderedPageBreak/>
        <w:t xml:space="preserve">Given SCO’s forecast of high and possibly increasing market volatility, students generally </w:t>
      </w:r>
      <w:r w:rsidRPr="00277644">
        <w:rPr>
          <w:rFonts w:ascii="Garamond" w:hAnsi="Garamond"/>
          <w:sz w:val="22"/>
          <w:szCs w:val="22"/>
        </w:rPr>
        <w:t>se</w:t>
      </w:r>
      <w:r>
        <w:rPr>
          <w:rFonts w:ascii="Garamond" w:hAnsi="Garamond"/>
          <w:sz w:val="22"/>
          <w:szCs w:val="22"/>
        </w:rPr>
        <w:t>lect two of the following three strategies: straddle, strangle, and reverse butterfly. For a straddle one buys a call and a put having the same strike price X. For a strangle one buys a put having strike price X</w:t>
      </w:r>
      <w:r w:rsidRPr="00D67064">
        <w:rPr>
          <w:rFonts w:ascii="Garamond" w:hAnsi="Garamond"/>
          <w:sz w:val="22"/>
          <w:szCs w:val="22"/>
          <w:vertAlign w:val="subscript"/>
        </w:rPr>
        <w:t>1</w:t>
      </w:r>
      <w:r>
        <w:rPr>
          <w:rFonts w:ascii="Garamond" w:hAnsi="Garamond"/>
          <w:sz w:val="22"/>
          <w:szCs w:val="22"/>
        </w:rPr>
        <w:t xml:space="preserve"> and a call having strike price X</w:t>
      </w:r>
      <w:r w:rsidRPr="00D67064">
        <w:rPr>
          <w:rFonts w:ascii="Garamond" w:hAnsi="Garamond"/>
          <w:sz w:val="22"/>
          <w:szCs w:val="22"/>
          <w:vertAlign w:val="subscript"/>
        </w:rPr>
        <w:t>2</w:t>
      </w:r>
      <w:r>
        <w:rPr>
          <w:rFonts w:ascii="Garamond" w:hAnsi="Garamond"/>
          <w:sz w:val="22"/>
          <w:szCs w:val="22"/>
        </w:rPr>
        <w:t xml:space="preserve"> where X</w:t>
      </w:r>
      <w:r w:rsidRPr="00D67064">
        <w:rPr>
          <w:rFonts w:ascii="Garamond" w:hAnsi="Garamond"/>
          <w:sz w:val="22"/>
          <w:szCs w:val="22"/>
          <w:vertAlign w:val="subscript"/>
        </w:rPr>
        <w:t>1</w:t>
      </w:r>
      <w:r>
        <w:rPr>
          <w:rFonts w:ascii="Garamond" w:hAnsi="Garamond"/>
          <w:sz w:val="22"/>
          <w:szCs w:val="22"/>
        </w:rPr>
        <w:t>&lt;X</w:t>
      </w:r>
      <w:r w:rsidRPr="00D67064">
        <w:rPr>
          <w:rFonts w:ascii="Garamond" w:hAnsi="Garamond"/>
          <w:sz w:val="22"/>
          <w:szCs w:val="22"/>
          <w:vertAlign w:val="subscript"/>
        </w:rPr>
        <w:t>2</w:t>
      </w:r>
      <w:r>
        <w:rPr>
          <w:rFonts w:ascii="Garamond" w:hAnsi="Garamond"/>
          <w:sz w:val="22"/>
          <w:szCs w:val="22"/>
        </w:rPr>
        <w:t>. For a reverse butterfly one sells a call having strike price X</w:t>
      </w:r>
      <w:r w:rsidRPr="00B2575C">
        <w:rPr>
          <w:rFonts w:ascii="Garamond" w:hAnsi="Garamond"/>
          <w:sz w:val="22"/>
          <w:szCs w:val="22"/>
          <w:vertAlign w:val="subscript"/>
        </w:rPr>
        <w:t>1</w:t>
      </w:r>
      <w:r>
        <w:rPr>
          <w:rFonts w:ascii="Garamond" w:hAnsi="Garamond"/>
          <w:sz w:val="22"/>
          <w:szCs w:val="22"/>
        </w:rPr>
        <w:t>, buys two calls having strike price X</w:t>
      </w:r>
      <w:r w:rsidRPr="00B2575C">
        <w:rPr>
          <w:rFonts w:ascii="Garamond" w:hAnsi="Garamond"/>
          <w:sz w:val="22"/>
          <w:szCs w:val="22"/>
          <w:vertAlign w:val="subscript"/>
        </w:rPr>
        <w:t>2</w:t>
      </w:r>
      <w:r>
        <w:rPr>
          <w:rFonts w:ascii="Garamond" w:hAnsi="Garamond"/>
          <w:sz w:val="22"/>
          <w:szCs w:val="22"/>
        </w:rPr>
        <w:t>, and sells a call having strike price X</w:t>
      </w:r>
      <w:r w:rsidRPr="00B2575C">
        <w:rPr>
          <w:rFonts w:ascii="Garamond" w:hAnsi="Garamond"/>
          <w:sz w:val="22"/>
          <w:szCs w:val="22"/>
          <w:vertAlign w:val="subscript"/>
        </w:rPr>
        <w:t>3</w:t>
      </w:r>
      <w:r>
        <w:rPr>
          <w:rFonts w:ascii="Garamond" w:hAnsi="Garamond"/>
          <w:sz w:val="22"/>
          <w:szCs w:val="22"/>
        </w:rPr>
        <w:t xml:space="preserve"> where X</w:t>
      </w:r>
      <w:r w:rsidRPr="00B2575C">
        <w:rPr>
          <w:rFonts w:ascii="Garamond" w:hAnsi="Garamond"/>
          <w:sz w:val="22"/>
          <w:szCs w:val="22"/>
          <w:vertAlign w:val="subscript"/>
        </w:rPr>
        <w:t>1</w:t>
      </w:r>
      <w:r>
        <w:rPr>
          <w:rFonts w:ascii="Garamond" w:hAnsi="Garamond"/>
          <w:sz w:val="22"/>
          <w:szCs w:val="22"/>
        </w:rPr>
        <w:t>&lt;X</w:t>
      </w:r>
      <w:r w:rsidRPr="00B2575C">
        <w:rPr>
          <w:rFonts w:ascii="Garamond" w:hAnsi="Garamond"/>
          <w:sz w:val="22"/>
          <w:szCs w:val="22"/>
          <w:vertAlign w:val="subscript"/>
        </w:rPr>
        <w:t>2</w:t>
      </w:r>
      <w:r>
        <w:rPr>
          <w:rFonts w:ascii="Garamond" w:hAnsi="Garamond"/>
          <w:sz w:val="22"/>
          <w:szCs w:val="22"/>
        </w:rPr>
        <w:t>&lt;X</w:t>
      </w:r>
      <w:r w:rsidRPr="00356696">
        <w:rPr>
          <w:rFonts w:ascii="Garamond" w:hAnsi="Garamond"/>
          <w:sz w:val="22"/>
          <w:szCs w:val="22"/>
          <w:vertAlign w:val="subscript"/>
        </w:rPr>
        <w:t>3</w:t>
      </w:r>
      <w:r>
        <w:rPr>
          <w:rFonts w:ascii="Garamond" w:hAnsi="Garamond"/>
          <w:sz w:val="22"/>
          <w:szCs w:val="22"/>
        </w:rPr>
        <w:t xml:space="preserve"> and X</w:t>
      </w:r>
      <w:r w:rsidRPr="00B2575C">
        <w:rPr>
          <w:rFonts w:ascii="Garamond" w:hAnsi="Garamond"/>
          <w:sz w:val="22"/>
          <w:szCs w:val="22"/>
          <w:vertAlign w:val="subscript"/>
        </w:rPr>
        <w:t>2</w:t>
      </w:r>
      <w:r>
        <w:rPr>
          <w:rFonts w:ascii="Garamond" w:hAnsi="Garamond"/>
          <w:sz w:val="22"/>
          <w:szCs w:val="22"/>
        </w:rPr>
        <w:t>=(X</w:t>
      </w:r>
      <w:r w:rsidRPr="00B2575C">
        <w:rPr>
          <w:rFonts w:ascii="Garamond" w:hAnsi="Garamond"/>
          <w:sz w:val="22"/>
          <w:szCs w:val="22"/>
          <w:vertAlign w:val="subscript"/>
        </w:rPr>
        <w:t>1</w:t>
      </w:r>
      <w:r>
        <w:rPr>
          <w:rFonts w:ascii="Garamond" w:hAnsi="Garamond"/>
          <w:sz w:val="22"/>
          <w:szCs w:val="22"/>
        </w:rPr>
        <w:t>+X</w:t>
      </w:r>
      <w:r w:rsidRPr="00B2575C">
        <w:rPr>
          <w:rFonts w:ascii="Garamond" w:hAnsi="Garamond"/>
          <w:sz w:val="22"/>
          <w:szCs w:val="22"/>
          <w:vertAlign w:val="subscript"/>
        </w:rPr>
        <w:t>3</w:t>
      </w:r>
      <w:r>
        <w:rPr>
          <w:rFonts w:ascii="Garamond" w:hAnsi="Garamond"/>
          <w:sz w:val="22"/>
          <w:szCs w:val="22"/>
        </w:rPr>
        <w:t>)/2. Although one could also construct a reverse butterfly with puts, we consider only calls in the analysis given here.</w:t>
      </w:r>
    </w:p>
    <w:p w:rsidR="00106673" w:rsidRDefault="00106673" w:rsidP="00106673">
      <w:pPr>
        <w:jc w:val="both"/>
        <w:rPr>
          <w:rFonts w:ascii="Garamond" w:hAnsi="Garamond"/>
          <w:sz w:val="22"/>
          <w:szCs w:val="22"/>
        </w:rPr>
      </w:pPr>
    </w:p>
    <w:p w:rsidR="00106673" w:rsidRPr="00277644" w:rsidRDefault="00106673" w:rsidP="00106673">
      <w:pPr>
        <w:jc w:val="both"/>
        <w:rPr>
          <w:rFonts w:ascii="Garamond" w:hAnsi="Garamond"/>
          <w:sz w:val="22"/>
          <w:szCs w:val="22"/>
        </w:rPr>
      </w:pPr>
      <w:r>
        <w:rPr>
          <w:rFonts w:ascii="Garamond" w:hAnsi="Garamond"/>
          <w:sz w:val="22"/>
          <w:szCs w:val="22"/>
        </w:rPr>
        <w:t>Students should provide complete d</w:t>
      </w:r>
      <w:r w:rsidRPr="00277644">
        <w:rPr>
          <w:rFonts w:ascii="Garamond" w:hAnsi="Garamond"/>
          <w:sz w:val="22"/>
          <w:szCs w:val="22"/>
        </w:rPr>
        <w:t xml:space="preserve">etails </w:t>
      </w:r>
      <w:r>
        <w:rPr>
          <w:rFonts w:ascii="Garamond" w:hAnsi="Garamond"/>
          <w:sz w:val="22"/>
          <w:szCs w:val="22"/>
        </w:rPr>
        <w:t>for their strategies. They must clearly state which options are bought or sold, whether calls or puts are used, which strike prices are used, etc. Students should also mention key</w:t>
      </w:r>
      <w:r w:rsidRPr="00277644">
        <w:rPr>
          <w:rFonts w:ascii="Garamond" w:hAnsi="Garamond"/>
          <w:sz w:val="22"/>
          <w:szCs w:val="22"/>
        </w:rPr>
        <w:t xml:space="preserve"> attributes of the</w:t>
      </w:r>
      <w:r>
        <w:rPr>
          <w:rFonts w:ascii="Garamond" w:hAnsi="Garamond"/>
          <w:sz w:val="22"/>
          <w:szCs w:val="22"/>
        </w:rPr>
        <w:t>ir recommended</w:t>
      </w:r>
      <w:r w:rsidRPr="00277644">
        <w:rPr>
          <w:rFonts w:ascii="Garamond" w:hAnsi="Garamond"/>
          <w:sz w:val="22"/>
          <w:szCs w:val="22"/>
        </w:rPr>
        <w:t xml:space="preserve"> strategies</w:t>
      </w:r>
      <w:r>
        <w:rPr>
          <w:rFonts w:ascii="Garamond" w:hAnsi="Garamond"/>
          <w:sz w:val="22"/>
          <w:szCs w:val="22"/>
        </w:rPr>
        <w:t>.</w:t>
      </w:r>
      <w:r w:rsidRPr="00277644">
        <w:rPr>
          <w:rFonts w:ascii="Garamond" w:hAnsi="Garamond"/>
          <w:sz w:val="22"/>
          <w:szCs w:val="22"/>
        </w:rPr>
        <w:t xml:space="preserve">  Some examples include:</w:t>
      </w:r>
    </w:p>
    <w:p w:rsidR="00106673" w:rsidRPr="00277644" w:rsidRDefault="00106673" w:rsidP="00106673">
      <w:pPr>
        <w:jc w:val="both"/>
        <w:rPr>
          <w:rFonts w:ascii="Garamond" w:hAnsi="Garamond"/>
          <w:sz w:val="22"/>
          <w:szCs w:val="22"/>
        </w:rPr>
      </w:pPr>
    </w:p>
    <w:p w:rsidR="00106673" w:rsidRPr="00277644" w:rsidRDefault="00106673" w:rsidP="00106673">
      <w:pPr>
        <w:numPr>
          <w:ilvl w:val="0"/>
          <w:numId w:val="1"/>
        </w:numPr>
        <w:jc w:val="both"/>
        <w:rPr>
          <w:rFonts w:ascii="Garamond" w:hAnsi="Garamond"/>
          <w:sz w:val="22"/>
          <w:szCs w:val="22"/>
        </w:rPr>
      </w:pPr>
      <w:r w:rsidRPr="00277644">
        <w:rPr>
          <w:rFonts w:ascii="Garamond" w:hAnsi="Garamond"/>
          <w:sz w:val="22"/>
          <w:szCs w:val="22"/>
        </w:rPr>
        <w:t>Unlimited upsid</w:t>
      </w:r>
      <w:r>
        <w:rPr>
          <w:rFonts w:ascii="Garamond" w:hAnsi="Garamond"/>
          <w:sz w:val="22"/>
          <w:szCs w:val="22"/>
        </w:rPr>
        <w:t>e as the index increases toward</w:t>
      </w:r>
      <w:r w:rsidRPr="00277644">
        <w:rPr>
          <w:rFonts w:ascii="Garamond" w:hAnsi="Garamond"/>
          <w:sz w:val="22"/>
          <w:szCs w:val="22"/>
        </w:rPr>
        <w:t xml:space="preserve"> infinity for the straddle and strangle strategies</w:t>
      </w:r>
      <w:r>
        <w:rPr>
          <w:rFonts w:ascii="Garamond" w:hAnsi="Garamond"/>
          <w:sz w:val="22"/>
          <w:szCs w:val="22"/>
        </w:rPr>
        <w:t>,</w:t>
      </w:r>
    </w:p>
    <w:p w:rsidR="00106673" w:rsidRPr="00277644" w:rsidRDefault="00106673" w:rsidP="00106673">
      <w:pPr>
        <w:numPr>
          <w:ilvl w:val="0"/>
          <w:numId w:val="1"/>
        </w:numPr>
        <w:jc w:val="both"/>
        <w:rPr>
          <w:rFonts w:ascii="Garamond" w:hAnsi="Garamond"/>
          <w:sz w:val="22"/>
          <w:szCs w:val="22"/>
        </w:rPr>
      </w:pPr>
      <w:r>
        <w:rPr>
          <w:rFonts w:ascii="Garamond" w:hAnsi="Garamond"/>
          <w:sz w:val="22"/>
          <w:szCs w:val="22"/>
        </w:rPr>
        <w:t>Limited upside for the reverse</w:t>
      </w:r>
      <w:r w:rsidRPr="00277644">
        <w:rPr>
          <w:rFonts w:ascii="Garamond" w:hAnsi="Garamond"/>
          <w:sz w:val="22"/>
          <w:szCs w:val="22"/>
        </w:rPr>
        <w:t xml:space="preserve"> butterfly strategy</w:t>
      </w:r>
      <w:r>
        <w:rPr>
          <w:rFonts w:ascii="Garamond" w:hAnsi="Garamond"/>
          <w:sz w:val="22"/>
          <w:szCs w:val="22"/>
        </w:rPr>
        <w:t>,</w:t>
      </w:r>
    </w:p>
    <w:p w:rsidR="00106673" w:rsidRPr="00277644" w:rsidRDefault="00106673" w:rsidP="00106673">
      <w:pPr>
        <w:numPr>
          <w:ilvl w:val="0"/>
          <w:numId w:val="1"/>
        </w:numPr>
        <w:jc w:val="both"/>
        <w:rPr>
          <w:rFonts w:ascii="Garamond" w:hAnsi="Garamond"/>
          <w:sz w:val="22"/>
          <w:szCs w:val="22"/>
        </w:rPr>
      </w:pPr>
      <w:r w:rsidRPr="00277644">
        <w:rPr>
          <w:rFonts w:ascii="Garamond" w:hAnsi="Garamond"/>
          <w:sz w:val="22"/>
          <w:szCs w:val="22"/>
        </w:rPr>
        <w:t>Limited downside to all three strategies</w:t>
      </w:r>
      <w:r>
        <w:rPr>
          <w:rFonts w:ascii="Garamond" w:hAnsi="Garamond"/>
          <w:sz w:val="22"/>
          <w:szCs w:val="22"/>
        </w:rPr>
        <w:t>, although</w:t>
      </w:r>
      <w:r w:rsidRPr="00277644">
        <w:rPr>
          <w:rFonts w:ascii="Garamond" w:hAnsi="Garamond"/>
          <w:sz w:val="22"/>
          <w:szCs w:val="22"/>
        </w:rPr>
        <w:t xml:space="preserve"> there is significantly more </w:t>
      </w:r>
      <w:r>
        <w:rPr>
          <w:rFonts w:ascii="Garamond" w:hAnsi="Garamond"/>
          <w:sz w:val="22"/>
          <w:szCs w:val="22"/>
        </w:rPr>
        <w:t xml:space="preserve">downside </w:t>
      </w:r>
      <w:r w:rsidRPr="00277644">
        <w:rPr>
          <w:rFonts w:ascii="Garamond" w:hAnsi="Garamond"/>
          <w:sz w:val="22"/>
          <w:szCs w:val="22"/>
        </w:rPr>
        <w:t xml:space="preserve">risk </w:t>
      </w:r>
      <w:r>
        <w:rPr>
          <w:rFonts w:ascii="Garamond" w:hAnsi="Garamond"/>
          <w:sz w:val="22"/>
          <w:szCs w:val="22"/>
        </w:rPr>
        <w:t>for</w:t>
      </w:r>
      <w:r w:rsidRPr="00277644">
        <w:rPr>
          <w:rFonts w:ascii="Garamond" w:hAnsi="Garamond"/>
          <w:sz w:val="22"/>
          <w:szCs w:val="22"/>
        </w:rPr>
        <w:t xml:space="preserve"> the straddle and strangle strategies than </w:t>
      </w:r>
      <w:r>
        <w:rPr>
          <w:rFonts w:ascii="Garamond" w:hAnsi="Garamond"/>
          <w:sz w:val="22"/>
          <w:szCs w:val="22"/>
        </w:rPr>
        <w:t>for the reverse butterfly.</w:t>
      </w:r>
      <w:r w:rsidRPr="00277644">
        <w:rPr>
          <w:rFonts w:ascii="Garamond" w:hAnsi="Garamond"/>
          <w:sz w:val="22"/>
          <w:szCs w:val="22"/>
        </w:rPr>
        <w:t xml:space="preserve"> </w:t>
      </w:r>
    </w:p>
    <w:p w:rsidR="00106673" w:rsidRPr="00277644" w:rsidRDefault="00106673" w:rsidP="00106673">
      <w:pPr>
        <w:jc w:val="both"/>
        <w:rPr>
          <w:rFonts w:ascii="Garamond" w:hAnsi="Garamond"/>
          <w:sz w:val="22"/>
          <w:szCs w:val="22"/>
        </w:rPr>
      </w:pPr>
    </w:p>
    <w:p w:rsidR="00106673" w:rsidRDefault="00106673" w:rsidP="00106673">
      <w:pPr>
        <w:jc w:val="both"/>
        <w:rPr>
          <w:rFonts w:ascii="Garamond" w:hAnsi="Garamond"/>
          <w:sz w:val="22"/>
          <w:szCs w:val="22"/>
        </w:rPr>
      </w:pPr>
      <w:r>
        <w:rPr>
          <w:rFonts w:ascii="Garamond" w:hAnsi="Garamond"/>
          <w:sz w:val="22"/>
          <w:szCs w:val="22"/>
        </w:rPr>
        <w:t xml:space="preserve">Students occasionally want to use a strategy that takes advantage of increasing market volatility, but that is also either bullish or bearish. As a result, they might recommend a strap or a strip. With a strap one buys two calls and one put having the same strike price </w:t>
      </w:r>
      <w:r w:rsidRPr="00B2575C">
        <w:rPr>
          <w:rFonts w:ascii="Garamond" w:hAnsi="Garamond"/>
          <w:sz w:val="22"/>
          <w:szCs w:val="22"/>
        </w:rPr>
        <w:t>X</w:t>
      </w:r>
      <w:r>
        <w:rPr>
          <w:rFonts w:ascii="Garamond" w:hAnsi="Garamond"/>
          <w:sz w:val="22"/>
          <w:szCs w:val="22"/>
        </w:rPr>
        <w:t>. With a strip one buys two puts and one call having the same strike price X</w:t>
      </w:r>
      <w:r>
        <w:rPr>
          <w:rFonts w:ascii="Garamond" w:hAnsi="Garamond"/>
          <w:sz w:val="22"/>
          <w:szCs w:val="22"/>
          <w:vertAlign w:val="subscript"/>
        </w:rPr>
        <w:t xml:space="preserve">. </w:t>
      </w:r>
      <w:r>
        <w:rPr>
          <w:rFonts w:ascii="Garamond" w:hAnsi="Garamond"/>
          <w:sz w:val="22"/>
          <w:szCs w:val="22"/>
        </w:rPr>
        <w:t>These strategies are quite similar to, yet different from, the corresponding straddle. Although one can make a valid case for choosing a strap or a strip, we do not provide details for them. We cannot give details for all conceivable strategies. We restrict our attention to three volatility strategies which are neither bullish nor bearish – the straddle, strangle, and reverse butterfly.</w:t>
      </w:r>
    </w:p>
    <w:p w:rsidR="00106673" w:rsidRDefault="00106673" w:rsidP="00106673">
      <w:pPr>
        <w:jc w:val="both"/>
        <w:rPr>
          <w:rFonts w:ascii="Garamond" w:hAnsi="Garamond"/>
          <w:sz w:val="22"/>
          <w:szCs w:val="22"/>
        </w:rPr>
      </w:pPr>
    </w:p>
    <w:p w:rsidR="00106673" w:rsidRDefault="00106673" w:rsidP="00106673">
      <w:pPr>
        <w:jc w:val="both"/>
        <w:rPr>
          <w:rFonts w:ascii="Garamond" w:hAnsi="Garamond"/>
          <w:sz w:val="22"/>
          <w:szCs w:val="22"/>
        </w:rPr>
      </w:pPr>
      <w:r>
        <w:rPr>
          <w:rFonts w:ascii="Garamond" w:hAnsi="Garamond"/>
          <w:sz w:val="22"/>
          <w:szCs w:val="22"/>
        </w:rPr>
        <w:t>Sometimes students recommend arbitrage strategies based on violations of parity relations when using various combinations of prices from Table 1. Although it is important that students know parity relations such as put-call parity, arbitrage strategies are not realistic alternatives in this situation. Timing is absolutely critical in arbitrage-based trading, and students must be aware that they cannot realistically expect to execute trades at prices given in Table 1. The data in Table 1 are available after trading has ended on July 2, 2007. There is no guarantee that those prices would be available the next day. Unlike a buy-and-hold strategy based on a volatility forecast, an arbitrage strategy would depend critically on exploiting a fleeting mispricing opportunity. Hence, an arbitrage strategy based on a violation of a parity relation is not a viable recommendation in this context.</w:t>
      </w:r>
    </w:p>
    <w:p w:rsidR="00106673" w:rsidRDefault="00106673" w:rsidP="00106673">
      <w:pPr>
        <w:jc w:val="both"/>
        <w:rPr>
          <w:rFonts w:ascii="Garamond" w:hAnsi="Garamond"/>
          <w:sz w:val="22"/>
          <w:szCs w:val="22"/>
        </w:rPr>
      </w:pPr>
    </w:p>
    <w:p w:rsidR="00106673" w:rsidRDefault="00106673" w:rsidP="00106673">
      <w:pPr>
        <w:jc w:val="both"/>
        <w:rPr>
          <w:rFonts w:ascii="Garamond" w:hAnsi="Garamond"/>
          <w:sz w:val="22"/>
          <w:szCs w:val="22"/>
        </w:rPr>
      </w:pPr>
      <w:r>
        <w:rPr>
          <w:rFonts w:ascii="Garamond" w:hAnsi="Garamond"/>
          <w:sz w:val="22"/>
          <w:szCs w:val="22"/>
        </w:rPr>
        <w:t>The strategies chosen by a student can shed light upon a student’s tolerance for risk. They also can provide insight regarding a student’s expectation that the stock market will move significantly. For example, students often recommend the straddle and strangle as their two strategies. These students typically do not wish to relinquish the “upside potential” of these strategies for the limited profits available from a reverse butterfly. This is certainly justifiable – it depends on the student’s risk tolerance and the student’s probability estimate that a big move in the stock market will occur.</w:t>
      </w:r>
    </w:p>
    <w:p w:rsidR="00106673" w:rsidRDefault="00106673" w:rsidP="00106673">
      <w:pPr>
        <w:jc w:val="both"/>
        <w:rPr>
          <w:rFonts w:ascii="Garamond" w:hAnsi="Garamond"/>
          <w:sz w:val="22"/>
          <w:szCs w:val="22"/>
        </w:rPr>
      </w:pPr>
    </w:p>
    <w:p w:rsidR="00106673" w:rsidRPr="00277644" w:rsidRDefault="00106673" w:rsidP="00106673">
      <w:pPr>
        <w:jc w:val="both"/>
        <w:rPr>
          <w:rFonts w:ascii="Garamond" w:hAnsi="Garamond"/>
          <w:sz w:val="22"/>
          <w:szCs w:val="22"/>
        </w:rPr>
      </w:pPr>
      <w:r>
        <w:rPr>
          <w:rFonts w:ascii="Garamond" w:hAnsi="Garamond"/>
          <w:sz w:val="22"/>
          <w:szCs w:val="22"/>
        </w:rPr>
        <w:t xml:space="preserve">Our choice is to recommend </w:t>
      </w:r>
      <w:r w:rsidRPr="00277644">
        <w:rPr>
          <w:rFonts w:ascii="Garamond" w:hAnsi="Garamond"/>
          <w:sz w:val="22"/>
          <w:szCs w:val="22"/>
        </w:rPr>
        <w:t xml:space="preserve">the </w:t>
      </w:r>
      <w:r>
        <w:rPr>
          <w:rFonts w:ascii="Garamond" w:hAnsi="Garamond"/>
          <w:sz w:val="22"/>
          <w:szCs w:val="22"/>
        </w:rPr>
        <w:t>s</w:t>
      </w:r>
      <w:r w:rsidRPr="00277644">
        <w:rPr>
          <w:rFonts w:ascii="Garamond" w:hAnsi="Garamond"/>
          <w:sz w:val="22"/>
          <w:szCs w:val="22"/>
        </w:rPr>
        <w:t xml:space="preserve">traddle and the </w:t>
      </w:r>
      <w:r>
        <w:rPr>
          <w:rFonts w:ascii="Garamond" w:hAnsi="Garamond"/>
          <w:sz w:val="22"/>
          <w:szCs w:val="22"/>
        </w:rPr>
        <w:t>r</w:t>
      </w:r>
      <w:r w:rsidRPr="00277644">
        <w:rPr>
          <w:rFonts w:ascii="Garamond" w:hAnsi="Garamond"/>
          <w:sz w:val="22"/>
          <w:szCs w:val="22"/>
        </w:rPr>
        <w:t xml:space="preserve">everse </w:t>
      </w:r>
      <w:r>
        <w:rPr>
          <w:rFonts w:ascii="Garamond" w:hAnsi="Garamond"/>
          <w:sz w:val="22"/>
          <w:szCs w:val="22"/>
        </w:rPr>
        <w:t>b</w:t>
      </w:r>
      <w:r w:rsidRPr="00277644">
        <w:rPr>
          <w:rFonts w:ascii="Garamond" w:hAnsi="Garamond"/>
          <w:sz w:val="22"/>
          <w:szCs w:val="22"/>
        </w:rPr>
        <w:t>utterfly</w:t>
      </w:r>
      <w:r>
        <w:rPr>
          <w:rFonts w:ascii="Garamond" w:hAnsi="Garamond"/>
          <w:sz w:val="22"/>
          <w:szCs w:val="22"/>
        </w:rPr>
        <w:t>. It provides the most contrast between alternatives. In a sense, a strangle can be considered less risky than a straddle and more risky than a reverse butterfly. Because each of these three strategies is reasonable, we provide profit diagrams for all of them in this section. (These diagrams, by the way, incorporate a multiplier of 100 to adjust for contract size.) In later sections of this analysis, however, we shall restrict our attention solely to the straddle and reverse butterfly.</w:t>
      </w:r>
    </w:p>
    <w:p w:rsidR="00106673" w:rsidRDefault="00106673" w:rsidP="00106673">
      <w:pPr>
        <w:jc w:val="center"/>
        <w:rPr>
          <w:rFonts w:ascii="Garamond" w:hAnsi="Garamond"/>
          <w:b/>
          <w:sz w:val="22"/>
          <w:szCs w:val="22"/>
        </w:rPr>
      </w:pPr>
    </w:p>
    <w:p w:rsidR="00106673" w:rsidRDefault="00106673" w:rsidP="00106673">
      <w:pPr>
        <w:jc w:val="center"/>
        <w:rPr>
          <w:rFonts w:ascii="Garamond" w:hAnsi="Garamond"/>
          <w:b/>
          <w:sz w:val="22"/>
          <w:szCs w:val="22"/>
        </w:rPr>
      </w:pPr>
      <w:r>
        <w:rPr>
          <w:rFonts w:ascii="Garamond" w:hAnsi="Garamond"/>
          <w:b/>
          <w:sz w:val="22"/>
          <w:szCs w:val="22"/>
        </w:rPr>
        <w:t xml:space="preserve">Exhibit 1: Profit Diagram for SPX </w:t>
      </w:r>
      <w:r w:rsidRPr="00277644">
        <w:rPr>
          <w:rFonts w:ascii="Garamond" w:hAnsi="Garamond"/>
          <w:b/>
          <w:sz w:val="22"/>
          <w:szCs w:val="22"/>
        </w:rPr>
        <w:t>Straddle</w:t>
      </w:r>
    </w:p>
    <w:p w:rsidR="00106673" w:rsidRPr="00920050" w:rsidRDefault="00106673" w:rsidP="00106673">
      <w:pPr>
        <w:spacing w:before="120"/>
        <w:jc w:val="center"/>
        <w:rPr>
          <w:rFonts w:ascii="Garamond" w:hAnsi="Garamond"/>
          <w:b/>
          <w:sz w:val="20"/>
          <w:szCs w:val="20"/>
        </w:rPr>
      </w:pPr>
      <w:r w:rsidRPr="00920050">
        <w:rPr>
          <w:rFonts w:ascii="Garamond" w:hAnsi="Garamond"/>
          <w:b/>
          <w:sz w:val="20"/>
          <w:szCs w:val="20"/>
        </w:rPr>
        <w:t>(Buy Aug 1520 Call @ $33.90, Buy Aug 1520 Put @ $28.00)</w:t>
      </w:r>
    </w:p>
    <w:p w:rsidR="00106673" w:rsidRPr="0016775B" w:rsidRDefault="00106673" w:rsidP="00106673">
      <w:pPr>
        <w:jc w:val="center"/>
        <w:rPr>
          <w:rFonts w:ascii="Garamond" w:hAnsi="Garamond"/>
          <w:b/>
          <w:sz w:val="18"/>
          <w:szCs w:val="20"/>
        </w:rPr>
      </w:pPr>
    </w:p>
    <w:p w:rsidR="00106673" w:rsidRDefault="00106673" w:rsidP="00106673">
      <w:pPr>
        <w:jc w:val="center"/>
        <w:rPr>
          <w:rFonts w:ascii="Garamond" w:hAnsi="Garamond"/>
          <w:sz w:val="22"/>
          <w:szCs w:val="22"/>
        </w:rPr>
      </w:pPr>
      <w:r>
        <w:rPr>
          <w:rFonts w:ascii="Garamond" w:hAnsi="Garamond"/>
          <w:noProof/>
          <w:sz w:val="22"/>
          <w:szCs w:val="22"/>
        </w:rPr>
        <w:lastRenderedPageBreak/>
        <w:drawing>
          <wp:inline distT="0" distB="0" distL="0" distR="0">
            <wp:extent cx="5485160" cy="3111244"/>
            <wp:effectExtent l="6091" t="6100" r="22454" b="21461"/>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06673" w:rsidRDefault="00106673" w:rsidP="00106673">
      <w:pPr>
        <w:spacing w:before="120"/>
        <w:rPr>
          <w:rFonts w:ascii="Garamond" w:hAnsi="Garamond"/>
          <w:sz w:val="22"/>
          <w:szCs w:val="22"/>
        </w:rPr>
      </w:pPr>
      <w:r>
        <w:rPr>
          <w:rFonts w:ascii="Garamond" w:hAnsi="Garamond"/>
          <w:sz w:val="22"/>
          <w:szCs w:val="22"/>
        </w:rPr>
        <w:t>(Maximum profit is infinite, maximum loss is $6190, and breakeven points are 1458.10 and 1581.90.)</w:t>
      </w:r>
    </w:p>
    <w:p w:rsidR="00106673" w:rsidRDefault="00106673" w:rsidP="00106673">
      <w:pPr>
        <w:rPr>
          <w:rFonts w:ascii="Garamond" w:hAnsi="Garamond"/>
          <w:b/>
          <w:sz w:val="22"/>
          <w:szCs w:val="22"/>
        </w:rPr>
      </w:pPr>
      <w:r>
        <w:rPr>
          <w:rFonts w:ascii="Garamond" w:hAnsi="Garamond"/>
          <w:b/>
          <w:sz w:val="22"/>
          <w:szCs w:val="22"/>
        </w:rPr>
        <w:br w:type="page"/>
      </w:r>
    </w:p>
    <w:p w:rsidR="00106673" w:rsidRPr="00277644" w:rsidRDefault="00106673" w:rsidP="00106673">
      <w:pPr>
        <w:spacing w:before="120"/>
        <w:jc w:val="center"/>
        <w:rPr>
          <w:rFonts w:ascii="Garamond" w:hAnsi="Garamond"/>
          <w:b/>
          <w:sz w:val="22"/>
          <w:szCs w:val="22"/>
        </w:rPr>
      </w:pPr>
      <w:r>
        <w:rPr>
          <w:rFonts w:ascii="Garamond" w:hAnsi="Garamond"/>
          <w:b/>
          <w:sz w:val="22"/>
          <w:szCs w:val="22"/>
        </w:rPr>
        <w:lastRenderedPageBreak/>
        <w:t xml:space="preserve">Exhibit 2: Profit Diagram for OEX </w:t>
      </w:r>
      <w:r w:rsidRPr="00277644">
        <w:rPr>
          <w:rFonts w:ascii="Garamond" w:hAnsi="Garamond"/>
          <w:b/>
          <w:sz w:val="22"/>
          <w:szCs w:val="22"/>
        </w:rPr>
        <w:t>Straddle</w:t>
      </w:r>
    </w:p>
    <w:p w:rsidR="00106673" w:rsidRPr="00920050" w:rsidRDefault="00106673" w:rsidP="00106673">
      <w:pPr>
        <w:spacing w:before="120"/>
        <w:jc w:val="center"/>
        <w:rPr>
          <w:rFonts w:ascii="Garamond" w:hAnsi="Garamond"/>
          <w:b/>
          <w:sz w:val="20"/>
          <w:szCs w:val="22"/>
        </w:rPr>
      </w:pPr>
      <w:r w:rsidRPr="00920050">
        <w:rPr>
          <w:rFonts w:ascii="Garamond" w:hAnsi="Garamond"/>
          <w:b/>
          <w:sz w:val="20"/>
          <w:szCs w:val="22"/>
        </w:rPr>
        <w:t>(Buy Aug 700 Call @ $14.65, Buy Aug 700 Put @ $13.00)</w:t>
      </w:r>
    </w:p>
    <w:p w:rsidR="00106673" w:rsidRPr="00277644" w:rsidRDefault="00106673" w:rsidP="00106673">
      <w:pPr>
        <w:jc w:val="center"/>
        <w:rPr>
          <w:rFonts w:ascii="Garamond" w:hAnsi="Garamond"/>
          <w:b/>
          <w:sz w:val="22"/>
          <w:szCs w:val="22"/>
        </w:rPr>
      </w:pPr>
    </w:p>
    <w:p w:rsidR="00106673" w:rsidRDefault="00106673" w:rsidP="00106673">
      <w:pPr>
        <w:jc w:val="center"/>
        <w:rPr>
          <w:rFonts w:ascii="Garamond" w:hAnsi="Garamond"/>
          <w:b/>
          <w:sz w:val="22"/>
          <w:szCs w:val="22"/>
        </w:rPr>
      </w:pPr>
      <w:r>
        <w:rPr>
          <w:rFonts w:ascii="Garamond" w:hAnsi="Garamond"/>
          <w:b/>
          <w:noProof/>
          <w:sz w:val="22"/>
          <w:szCs w:val="22"/>
        </w:rPr>
        <w:drawing>
          <wp:inline distT="0" distB="0" distL="0" distR="0">
            <wp:extent cx="5485160" cy="3111244"/>
            <wp:effectExtent l="6091" t="6100" r="22454" b="21461"/>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6673" w:rsidRPr="0016775B" w:rsidRDefault="00106673" w:rsidP="00106673">
      <w:pPr>
        <w:spacing w:before="120"/>
        <w:rPr>
          <w:rFonts w:ascii="Garamond" w:hAnsi="Garamond"/>
          <w:sz w:val="22"/>
          <w:szCs w:val="22"/>
        </w:rPr>
      </w:pPr>
      <w:r>
        <w:rPr>
          <w:rFonts w:ascii="Garamond" w:hAnsi="Garamond"/>
          <w:sz w:val="22"/>
          <w:szCs w:val="22"/>
        </w:rPr>
        <w:t>(Maximum profit is infinite, maximum loss is $2765, and breakeven points are 672.35 and 727.65.)</w:t>
      </w:r>
    </w:p>
    <w:p w:rsidR="00106673" w:rsidRDefault="00106673" w:rsidP="00106673">
      <w:pPr>
        <w:jc w:val="center"/>
        <w:rPr>
          <w:rFonts w:ascii="Garamond" w:hAnsi="Garamond"/>
          <w:b/>
          <w:sz w:val="22"/>
          <w:szCs w:val="22"/>
        </w:rPr>
      </w:pPr>
    </w:p>
    <w:p w:rsidR="00106673" w:rsidRDefault="00106673" w:rsidP="00106673">
      <w:pPr>
        <w:rPr>
          <w:rFonts w:ascii="Garamond" w:hAnsi="Garamond"/>
          <w:b/>
          <w:sz w:val="22"/>
          <w:szCs w:val="22"/>
        </w:rPr>
      </w:pPr>
      <w:r>
        <w:rPr>
          <w:rFonts w:ascii="Garamond" w:hAnsi="Garamond"/>
          <w:b/>
          <w:sz w:val="22"/>
          <w:szCs w:val="22"/>
        </w:rPr>
        <w:br w:type="page"/>
      </w:r>
    </w:p>
    <w:p w:rsidR="00106673" w:rsidRDefault="00106673" w:rsidP="00106673">
      <w:pPr>
        <w:jc w:val="center"/>
        <w:rPr>
          <w:rFonts w:ascii="Garamond" w:hAnsi="Garamond"/>
          <w:b/>
          <w:sz w:val="22"/>
          <w:szCs w:val="22"/>
        </w:rPr>
      </w:pPr>
      <w:r>
        <w:rPr>
          <w:rFonts w:ascii="Garamond" w:hAnsi="Garamond"/>
          <w:b/>
          <w:sz w:val="22"/>
          <w:szCs w:val="22"/>
        </w:rPr>
        <w:lastRenderedPageBreak/>
        <w:t>Exhibit 3: Profit Diagram for SPX Reverse</w:t>
      </w:r>
      <w:r w:rsidRPr="00277644">
        <w:rPr>
          <w:rFonts w:ascii="Garamond" w:hAnsi="Garamond"/>
          <w:b/>
          <w:sz w:val="22"/>
          <w:szCs w:val="22"/>
        </w:rPr>
        <w:t xml:space="preserve"> Butterfly</w:t>
      </w:r>
    </w:p>
    <w:p w:rsidR="00106673" w:rsidRPr="00E70A6F" w:rsidRDefault="00106673" w:rsidP="00106673">
      <w:pPr>
        <w:spacing w:before="120"/>
        <w:jc w:val="center"/>
        <w:rPr>
          <w:rFonts w:ascii="Garamond" w:hAnsi="Garamond"/>
          <w:b/>
          <w:sz w:val="20"/>
          <w:szCs w:val="22"/>
        </w:rPr>
      </w:pPr>
      <w:r w:rsidRPr="00E70A6F">
        <w:rPr>
          <w:rFonts w:ascii="Garamond" w:hAnsi="Garamond"/>
          <w:b/>
          <w:sz w:val="20"/>
          <w:szCs w:val="22"/>
        </w:rPr>
        <w:t>(Sell Aug 1515 Call @ $37.10, Buy 2 Aug 1520 Calls @ $33.90, Sell Aug 1525 Call @ $30.90)</w:t>
      </w:r>
    </w:p>
    <w:p w:rsidR="00106673" w:rsidRPr="00277644" w:rsidRDefault="00106673" w:rsidP="00106673">
      <w:pPr>
        <w:jc w:val="center"/>
        <w:rPr>
          <w:rFonts w:ascii="Garamond" w:hAnsi="Garamond"/>
          <w:b/>
          <w:sz w:val="22"/>
          <w:szCs w:val="22"/>
        </w:rPr>
      </w:pPr>
    </w:p>
    <w:p w:rsidR="00106673" w:rsidRPr="00277644" w:rsidRDefault="00106673" w:rsidP="00106673">
      <w:pPr>
        <w:jc w:val="center"/>
        <w:rPr>
          <w:rFonts w:ascii="Garamond" w:hAnsi="Garamond"/>
          <w:sz w:val="22"/>
          <w:szCs w:val="22"/>
        </w:rPr>
      </w:pPr>
      <w:r>
        <w:rPr>
          <w:rFonts w:ascii="Garamond" w:hAnsi="Garamond"/>
          <w:noProof/>
          <w:sz w:val="22"/>
          <w:szCs w:val="22"/>
        </w:rPr>
        <w:drawing>
          <wp:inline distT="0" distB="0" distL="0" distR="0">
            <wp:extent cx="5485160" cy="3111244"/>
            <wp:effectExtent l="6091" t="6100" r="22454" b="21461"/>
            <wp:docPr id="3"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6673" w:rsidRDefault="00106673" w:rsidP="00106673">
      <w:pPr>
        <w:spacing w:before="120"/>
        <w:rPr>
          <w:rFonts w:ascii="Garamond" w:hAnsi="Garamond"/>
          <w:sz w:val="22"/>
          <w:szCs w:val="22"/>
        </w:rPr>
      </w:pPr>
      <w:r>
        <w:rPr>
          <w:rFonts w:ascii="Garamond" w:hAnsi="Garamond"/>
          <w:sz w:val="22"/>
          <w:szCs w:val="22"/>
        </w:rPr>
        <w:t>(Maximum profit is $20, maximum loss is $480, and breakeven points are 1515.20 and 1524.80.)</w:t>
      </w:r>
    </w:p>
    <w:p w:rsidR="00106673" w:rsidRDefault="00106673" w:rsidP="00106673">
      <w:pPr>
        <w:jc w:val="center"/>
        <w:rPr>
          <w:rFonts w:ascii="Garamond" w:hAnsi="Garamond"/>
          <w:sz w:val="22"/>
          <w:szCs w:val="22"/>
        </w:rPr>
      </w:pPr>
    </w:p>
    <w:p w:rsidR="00106673" w:rsidRDefault="00106673" w:rsidP="00106673">
      <w:pPr>
        <w:jc w:val="center"/>
        <w:rPr>
          <w:rFonts w:ascii="Garamond" w:hAnsi="Garamond"/>
          <w:sz w:val="22"/>
          <w:szCs w:val="22"/>
        </w:rPr>
      </w:pPr>
    </w:p>
    <w:p w:rsidR="00106673" w:rsidRDefault="00106673" w:rsidP="00106673">
      <w:pPr>
        <w:rPr>
          <w:rFonts w:ascii="Garamond" w:hAnsi="Garamond"/>
          <w:b/>
          <w:sz w:val="22"/>
          <w:szCs w:val="22"/>
        </w:rPr>
      </w:pPr>
      <w:r>
        <w:rPr>
          <w:rFonts w:ascii="Garamond" w:hAnsi="Garamond"/>
          <w:b/>
          <w:sz w:val="22"/>
          <w:szCs w:val="22"/>
        </w:rPr>
        <w:br w:type="page"/>
      </w:r>
    </w:p>
    <w:p w:rsidR="00106673" w:rsidRPr="00277644" w:rsidRDefault="00106673" w:rsidP="00106673">
      <w:pPr>
        <w:spacing w:before="120"/>
        <w:jc w:val="center"/>
        <w:rPr>
          <w:rFonts w:ascii="Garamond" w:hAnsi="Garamond"/>
          <w:b/>
          <w:sz w:val="22"/>
          <w:szCs w:val="22"/>
        </w:rPr>
      </w:pPr>
      <w:r>
        <w:rPr>
          <w:rFonts w:ascii="Garamond" w:hAnsi="Garamond"/>
          <w:b/>
          <w:sz w:val="22"/>
          <w:szCs w:val="22"/>
        </w:rPr>
        <w:lastRenderedPageBreak/>
        <w:t>Exhibit 4: Profit Diagram for OEX Reverse</w:t>
      </w:r>
      <w:r w:rsidRPr="00277644">
        <w:rPr>
          <w:rFonts w:ascii="Garamond" w:hAnsi="Garamond"/>
          <w:b/>
          <w:sz w:val="22"/>
          <w:szCs w:val="22"/>
        </w:rPr>
        <w:t xml:space="preserve"> Butterfly</w:t>
      </w:r>
    </w:p>
    <w:p w:rsidR="00106673" w:rsidRPr="00E70A6F" w:rsidRDefault="00106673" w:rsidP="00106673">
      <w:pPr>
        <w:spacing w:before="120"/>
        <w:jc w:val="center"/>
        <w:rPr>
          <w:rFonts w:ascii="Garamond" w:hAnsi="Garamond"/>
          <w:b/>
          <w:sz w:val="20"/>
          <w:szCs w:val="22"/>
        </w:rPr>
      </w:pPr>
      <w:r w:rsidRPr="00E70A6F">
        <w:rPr>
          <w:rFonts w:ascii="Garamond" w:hAnsi="Garamond"/>
          <w:b/>
          <w:sz w:val="20"/>
          <w:szCs w:val="22"/>
        </w:rPr>
        <w:t>(Sell Aug 695 Call @ $18.00, Buy 2 Aug 700 Calls @ $14.65, Sell Aug 705 Call @ $11.80)</w:t>
      </w:r>
    </w:p>
    <w:p w:rsidR="00106673" w:rsidRDefault="00106673" w:rsidP="00106673">
      <w:pPr>
        <w:jc w:val="center"/>
        <w:rPr>
          <w:rFonts w:ascii="Garamond" w:hAnsi="Garamond"/>
          <w:b/>
          <w:sz w:val="22"/>
          <w:szCs w:val="22"/>
        </w:rPr>
      </w:pPr>
    </w:p>
    <w:p w:rsidR="00106673" w:rsidRDefault="00106673" w:rsidP="00106673">
      <w:pPr>
        <w:jc w:val="center"/>
        <w:rPr>
          <w:rFonts w:ascii="Garamond" w:hAnsi="Garamond"/>
          <w:sz w:val="22"/>
          <w:szCs w:val="22"/>
        </w:rPr>
      </w:pPr>
      <w:r>
        <w:rPr>
          <w:rFonts w:ascii="Garamond" w:hAnsi="Garamond"/>
          <w:noProof/>
          <w:sz w:val="22"/>
          <w:szCs w:val="22"/>
        </w:rPr>
        <w:drawing>
          <wp:inline distT="0" distB="0" distL="0" distR="0">
            <wp:extent cx="5485160" cy="3111244"/>
            <wp:effectExtent l="6091" t="6100" r="22454" b="21461"/>
            <wp:docPr id="4"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6673" w:rsidRPr="0016775B" w:rsidRDefault="00106673" w:rsidP="00106673">
      <w:pPr>
        <w:spacing w:before="120"/>
        <w:rPr>
          <w:rFonts w:ascii="Garamond" w:hAnsi="Garamond"/>
          <w:sz w:val="22"/>
          <w:szCs w:val="22"/>
        </w:rPr>
      </w:pPr>
      <w:r>
        <w:rPr>
          <w:rFonts w:ascii="Garamond" w:hAnsi="Garamond"/>
          <w:sz w:val="22"/>
          <w:szCs w:val="22"/>
        </w:rPr>
        <w:t>(Maximum profit is $50, maximum loss is $450, and breakeven points are 695.50 and 704.50.)</w:t>
      </w:r>
    </w:p>
    <w:p w:rsidR="00B16BE2" w:rsidRDefault="00106673" w:rsidP="00106673">
      <w:r>
        <w:rPr>
          <w:rFonts w:ascii="Garamond" w:hAnsi="Garamond"/>
          <w:b/>
          <w:sz w:val="22"/>
          <w:szCs w:val="22"/>
        </w:rPr>
        <w:br w:type="page"/>
      </w:r>
    </w:p>
    <w:sectPr w:rsidR="00B16BE2" w:rsidSect="00B16BE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96F" w:rsidRDefault="0083696F" w:rsidP="00106673">
      <w:r>
        <w:separator/>
      </w:r>
    </w:p>
  </w:endnote>
  <w:endnote w:type="continuationSeparator" w:id="1">
    <w:p w:rsidR="0083696F" w:rsidRDefault="0083696F" w:rsidP="001066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96F" w:rsidRDefault="0083696F" w:rsidP="00106673">
      <w:r>
        <w:separator/>
      </w:r>
    </w:p>
  </w:footnote>
  <w:footnote w:type="continuationSeparator" w:id="1">
    <w:p w:rsidR="0083696F" w:rsidRDefault="0083696F" w:rsidP="00106673">
      <w:r>
        <w:continuationSeparator/>
      </w:r>
    </w:p>
  </w:footnote>
  <w:footnote w:id="2">
    <w:p w:rsidR="00106673" w:rsidRPr="00C06F96" w:rsidRDefault="00106673" w:rsidP="00106673">
      <w:pPr>
        <w:pStyle w:val="FootnoteText"/>
        <w:jc w:val="both"/>
        <w:rPr>
          <w:rFonts w:ascii="Garamond" w:hAnsi="Garamond"/>
        </w:rPr>
      </w:pPr>
      <w:r w:rsidRPr="00C06F96">
        <w:rPr>
          <w:rStyle w:val="FootnoteReference"/>
          <w:rFonts w:ascii="Garamond" w:hAnsi="Garamond"/>
        </w:rPr>
        <w:footnoteRef/>
      </w:r>
      <w:r>
        <w:rPr>
          <w:rFonts w:ascii="Garamond" w:hAnsi="Garamond"/>
        </w:rPr>
        <w:t xml:space="preserve"> We thank John Peterson for providing preliminary analysis of Parts</w:t>
      </w:r>
      <w:r w:rsidRPr="00C06F96">
        <w:rPr>
          <w:rFonts w:ascii="Garamond" w:hAnsi="Garamond"/>
        </w:rPr>
        <w:t xml:space="preserve"> </w:t>
      </w:r>
      <w:r>
        <w:rPr>
          <w:rFonts w:ascii="Garamond" w:hAnsi="Garamond"/>
        </w:rPr>
        <w:t>I</w:t>
      </w:r>
      <w:r w:rsidRPr="00277644">
        <w:rPr>
          <w:rFonts w:ascii="Garamond" w:hAnsi="Garamond"/>
          <w:sz w:val="22"/>
          <w:szCs w:val="22"/>
        </w:rPr>
        <w:t>–</w:t>
      </w:r>
      <w:r>
        <w:rPr>
          <w:rFonts w:ascii="Garamond" w:hAnsi="Garamond"/>
        </w:rPr>
        <w:t xml:space="preserve">III. These solutions were last revised on September 22, 2009.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063E"/>
    <w:multiLevelType w:val="hybridMultilevel"/>
    <w:tmpl w:val="41FE30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4A7DBA"/>
    <w:multiLevelType w:val="hybridMultilevel"/>
    <w:tmpl w:val="29945F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73E0C87"/>
    <w:multiLevelType w:val="hybridMultilevel"/>
    <w:tmpl w:val="6FF6A5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106673"/>
    <w:rsid w:val="00106673"/>
    <w:rsid w:val="0083696F"/>
    <w:rsid w:val="00B16B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6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06673"/>
    <w:rPr>
      <w:sz w:val="20"/>
      <w:szCs w:val="20"/>
    </w:rPr>
  </w:style>
  <w:style w:type="character" w:customStyle="1" w:styleId="FootnoteTextChar">
    <w:name w:val="Footnote Text Char"/>
    <w:basedOn w:val="DefaultParagraphFont"/>
    <w:link w:val="FootnoteText"/>
    <w:uiPriority w:val="99"/>
    <w:semiHidden/>
    <w:rsid w:val="0010667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6673"/>
    <w:rPr>
      <w:vertAlign w:val="superscript"/>
    </w:rPr>
  </w:style>
  <w:style w:type="paragraph" w:styleId="Title">
    <w:name w:val="Title"/>
    <w:basedOn w:val="Normal"/>
    <w:next w:val="Normal"/>
    <w:link w:val="TitleChar"/>
    <w:uiPriority w:val="10"/>
    <w:qFormat/>
    <w:rsid w:val="0010667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106673"/>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106673"/>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106673"/>
    <w:rPr>
      <w:rFonts w:ascii="Cambria" w:eastAsia="Times New Roman" w:hAnsi="Cambria" w:cs="Times New Roman"/>
      <w:sz w:val="24"/>
      <w:szCs w:val="24"/>
    </w:rPr>
  </w:style>
  <w:style w:type="paragraph" w:styleId="BalloonText">
    <w:name w:val="Balloon Text"/>
    <w:basedOn w:val="Normal"/>
    <w:link w:val="BalloonTextChar"/>
    <w:uiPriority w:val="99"/>
    <w:semiHidden/>
    <w:unhideWhenUsed/>
    <w:rsid w:val="00106673"/>
    <w:rPr>
      <w:rFonts w:ascii="Tahoma" w:hAnsi="Tahoma" w:cs="Tahoma"/>
      <w:sz w:val="16"/>
      <w:szCs w:val="16"/>
    </w:rPr>
  </w:style>
  <w:style w:type="character" w:customStyle="1" w:styleId="BalloonTextChar">
    <w:name w:val="Balloon Text Char"/>
    <w:basedOn w:val="DefaultParagraphFont"/>
    <w:link w:val="BalloonText"/>
    <w:uiPriority w:val="99"/>
    <w:semiHidden/>
    <w:rsid w:val="0010667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D:\SCO\Stratlyz7e%20-%20spx%20straddl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CO\Stratlyz7e%20-%20oex%20straddl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SCO\Stratlyz7e%20-%20spx%20reverse%20butterfly.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SCO\Stratlyz7e%20-%20oex%20reverse%20butterfly.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lgn="ctr">
              <a:defRPr sz="900" b="1" i="0" u="none" strike="noStrike" baseline="0">
                <a:solidFill>
                  <a:srgbClr val="000000"/>
                </a:solidFill>
                <a:latin typeface="Arial"/>
                <a:ea typeface="Arial"/>
                <a:cs typeface="Arial"/>
              </a:defRPr>
            </a:pPr>
            <a:r>
              <a:rPr lang="en-US" sz="900" baseline="0"/>
              <a:t>Profit for SPX Straddle</a:t>
            </a:r>
          </a:p>
        </c:rich>
      </c:tx>
      <c:layout>
        <c:manualLayout>
          <c:xMode val="edge"/>
          <c:yMode val="edge"/>
          <c:x val="0.39397348840569713"/>
          <c:y val="1.9640236622892306E-2"/>
        </c:manualLayout>
      </c:layout>
      <c:spPr>
        <a:solidFill>
          <a:srgbClr val="FFFFFF"/>
        </a:solidFill>
        <a:ln w="3175">
          <a:solidFill>
            <a:srgbClr val="000000"/>
          </a:solidFill>
          <a:prstDash val="solid"/>
        </a:ln>
        <a:effectLst>
          <a:outerShdw dist="35921" dir="2700000" algn="br">
            <a:srgbClr val="000000"/>
          </a:outerShdw>
        </a:effectLst>
      </c:spPr>
    </c:title>
    <c:plotArea>
      <c:layout>
        <c:manualLayout>
          <c:layoutTarget val="inner"/>
          <c:xMode val="edge"/>
          <c:yMode val="edge"/>
          <c:x val="9.0401785714285698E-2"/>
          <c:y val="0.13093289689034607"/>
          <c:w val="0.88392857142858738"/>
          <c:h val="0.72504091653029545"/>
        </c:manualLayout>
      </c:layout>
      <c:lineChart>
        <c:grouping val="standard"/>
        <c:ser>
          <c:idx val="1"/>
          <c:order val="0"/>
          <c:spPr>
            <a:ln w="25400">
              <a:solidFill>
                <a:srgbClr val="000000"/>
              </a:solidFill>
              <a:prstDash val="solid"/>
            </a:ln>
          </c:spPr>
          <c:marker>
            <c:symbol val="none"/>
          </c:marker>
          <c:cat>
            <c:numRef>
              <c:f>'Strategy Inputs'!$A$44:$A$93</c:f>
              <c:numCache>
                <c:formatCode>0.00</c:formatCode>
                <c:ptCount val="50"/>
                <c:pt idx="0">
                  <c:v>1420</c:v>
                </c:pt>
                <c:pt idx="1">
                  <c:v>1424</c:v>
                </c:pt>
                <c:pt idx="2">
                  <c:v>1428</c:v>
                </c:pt>
                <c:pt idx="3">
                  <c:v>1432</c:v>
                </c:pt>
                <c:pt idx="4">
                  <c:v>1436</c:v>
                </c:pt>
                <c:pt idx="5">
                  <c:v>1440</c:v>
                </c:pt>
                <c:pt idx="6">
                  <c:v>1444</c:v>
                </c:pt>
                <c:pt idx="7">
                  <c:v>1448</c:v>
                </c:pt>
                <c:pt idx="8">
                  <c:v>1452</c:v>
                </c:pt>
                <c:pt idx="9">
                  <c:v>1456</c:v>
                </c:pt>
                <c:pt idx="10">
                  <c:v>1460</c:v>
                </c:pt>
                <c:pt idx="11">
                  <c:v>1464</c:v>
                </c:pt>
                <c:pt idx="12">
                  <c:v>1468</c:v>
                </c:pt>
                <c:pt idx="13">
                  <c:v>1472</c:v>
                </c:pt>
                <c:pt idx="14">
                  <c:v>1476</c:v>
                </c:pt>
                <c:pt idx="15">
                  <c:v>1480</c:v>
                </c:pt>
                <c:pt idx="16">
                  <c:v>1484</c:v>
                </c:pt>
                <c:pt idx="17">
                  <c:v>1488</c:v>
                </c:pt>
                <c:pt idx="18">
                  <c:v>1492</c:v>
                </c:pt>
                <c:pt idx="19">
                  <c:v>1496</c:v>
                </c:pt>
                <c:pt idx="20">
                  <c:v>1500</c:v>
                </c:pt>
                <c:pt idx="21">
                  <c:v>1504</c:v>
                </c:pt>
                <c:pt idx="22">
                  <c:v>1508</c:v>
                </c:pt>
                <c:pt idx="23">
                  <c:v>1512</c:v>
                </c:pt>
                <c:pt idx="24">
                  <c:v>1516</c:v>
                </c:pt>
                <c:pt idx="25">
                  <c:v>1520</c:v>
                </c:pt>
                <c:pt idx="26">
                  <c:v>1524</c:v>
                </c:pt>
                <c:pt idx="27">
                  <c:v>1528</c:v>
                </c:pt>
                <c:pt idx="28">
                  <c:v>1532</c:v>
                </c:pt>
                <c:pt idx="29">
                  <c:v>1536</c:v>
                </c:pt>
                <c:pt idx="30">
                  <c:v>1540</c:v>
                </c:pt>
                <c:pt idx="31">
                  <c:v>1544</c:v>
                </c:pt>
                <c:pt idx="32">
                  <c:v>1548</c:v>
                </c:pt>
                <c:pt idx="33">
                  <c:v>1552</c:v>
                </c:pt>
                <c:pt idx="34">
                  <c:v>1556</c:v>
                </c:pt>
                <c:pt idx="35">
                  <c:v>1560</c:v>
                </c:pt>
                <c:pt idx="36">
                  <c:v>1564</c:v>
                </c:pt>
                <c:pt idx="37">
                  <c:v>1568</c:v>
                </c:pt>
                <c:pt idx="38">
                  <c:v>1572</c:v>
                </c:pt>
                <c:pt idx="39">
                  <c:v>1576</c:v>
                </c:pt>
                <c:pt idx="40">
                  <c:v>1580</c:v>
                </c:pt>
                <c:pt idx="41">
                  <c:v>1584</c:v>
                </c:pt>
                <c:pt idx="42">
                  <c:v>1588</c:v>
                </c:pt>
                <c:pt idx="43">
                  <c:v>1592</c:v>
                </c:pt>
                <c:pt idx="44">
                  <c:v>1596</c:v>
                </c:pt>
                <c:pt idx="45">
                  <c:v>1600</c:v>
                </c:pt>
                <c:pt idx="46">
                  <c:v>1604</c:v>
                </c:pt>
                <c:pt idx="47">
                  <c:v>1608</c:v>
                </c:pt>
                <c:pt idx="48">
                  <c:v>1612</c:v>
                </c:pt>
                <c:pt idx="49">
                  <c:v>1616</c:v>
                </c:pt>
              </c:numCache>
            </c:numRef>
          </c:cat>
          <c:val>
            <c:numRef>
              <c:f>'Strategy Inputs'!$B$44:$B$93</c:f>
              <c:numCache>
                <c:formatCode>0.00</c:formatCode>
                <c:ptCount val="50"/>
                <c:pt idx="0">
                  <c:v>3810</c:v>
                </c:pt>
                <c:pt idx="1">
                  <c:v>3410</c:v>
                </c:pt>
                <c:pt idx="2">
                  <c:v>3010</c:v>
                </c:pt>
                <c:pt idx="3">
                  <c:v>2610</c:v>
                </c:pt>
                <c:pt idx="4">
                  <c:v>2210</c:v>
                </c:pt>
                <c:pt idx="5">
                  <c:v>1810</c:v>
                </c:pt>
                <c:pt idx="6">
                  <c:v>1410</c:v>
                </c:pt>
                <c:pt idx="7">
                  <c:v>1010</c:v>
                </c:pt>
                <c:pt idx="8">
                  <c:v>610</c:v>
                </c:pt>
                <c:pt idx="9">
                  <c:v>210</c:v>
                </c:pt>
                <c:pt idx="10">
                  <c:v>-190</c:v>
                </c:pt>
                <c:pt idx="11">
                  <c:v>-590</c:v>
                </c:pt>
                <c:pt idx="12">
                  <c:v>-990</c:v>
                </c:pt>
                <c:pt idx="13">
                  <c:v>-1390</c:v>
                </c:pt>
                <c:pt idx="14">
                  <c:v>-1790</c:v>
                </c:pt>
                <c:pt idx="15">
                  <c:v>-2190</c:v>
                </c:pt>
                <c:pt idx="16">
                  <c:v>-2590</c:v>
                </c:pt>
                <c:pt idx="17">
                  <c:v>-2990</c:v>
                </c:pt>
                <c:pt idx="18">
                  <c:v>-3390</c:v>
                </c:pt>
                <c:pt idx="19">
                  <c:v>-3790</c:v>
                </c:pt>
                <c:pt idx="20">
                  <c:v>-4190</c:v>
                </c:pt>
                <c:pt idx="21">
                  <c:v>-4590</c:v>
                </c:pt>
                <c:pt idx="22">
                  <c:v>-4990</c:v>
                </c:pt>
                <c:pt idx="23">
                  <c:v>-5390</c:v>
                </c:pt>
                <c:pt idx="24">
                  <c:v>-5790</c:v>
                </c:pt>
                <c:pt idx="25">
                  <c:v>-6190</c:v>
                </c:pt>
                <c:pt idx="26">
                  <c:v>-5790</c:v>
                </c:pt>
                <c:pt idx="27">
                  <c:v>-5390</c:v>
                </c:pt>
                <c:pt idx="28">
                  <c:v>-4990</c:v>
                </c:pt>
                <c:pt idx="29">
                  <c:v>-4590</c:v>
                </c:pt>
                <c:pt idx="30">
                  <c:v>-4190</c:v>
                </c:pt>
                <c:pt idx="31">
                  <c:v>-3790</c:v>
                </c:pt>
                <c:pt idx="32">
                  <c:v>-3390</c:v>
                </c:pt>
                <c:pt idx="33">
                  <c:v>-2990</c:v>
                </c:pt>
                <c:pt idx="34">
                  <c:v>-2590</c:v>
                </c:pt>
                <c:pt idx="35">
                  <c:v>-2190</c:v>
                </c:pt>
                <c:pt idx="36">
                  <c:v>-1790</c:v>
                </c:pt>
                <c:pt idx="37">
                  <c:v>-1390</c:v>
                </c:pt>
                <c:pt idx="38">
                  <c:v>-989.99999999999977</c:v>
                </c:pt>
                <c:pt idx="39">
                  <c:v>-590</c:v>
                </c:pt>
                <c:pt idx="40">
                  <c:v>-190</c:v>
                </c:pt>
                <c:pt idx="41">
                  <c:v>210</c:v>
                </c:pt>
                <c:pt idx="42">
                  <c:v>610</c:v>
                </c:pt>
                <c:pt idx="43">
                  <c:v>1010</c:v>
                </c:pt>
                <c:pt idx="44">
                  <c:v>1410</c:v>
                </c:pt>
                <c:pt idx="45">
                  <c:v>1810</c:v>
                </c:pt>
                <c:pt idx="46">
                  <c:v>2210</c:v>
                </c:pt>
                <c:pt idx="47">
                  <c:v>2610</c:v>
                </c:pt>
                <c:pt idx="48">
                  <c:v>3010</c:v>
                </c:pt>
                <c:pt idx="49">
                  <c:v>3410</c:v>
                </c:pt>
              </c:numCache>
            </c:numRef>
          </c:val>
          <c:smooth val="1"/>
        </c:ser>
        <c:marker val="1"/>
        <c:axId val="208030720"/>
        <c:axId val="208069760"/>
      </c:lineChart>
      <c:catAx>
        <c:axId val="208030720"/>
        <c:scaling>
          <c:orientation val="minMax"/>
        </c:scaling>
        <c:axPos val="b"/>
        <c:title>
          <c:tx>
            <c:rich>
              <a:bodyPr/>
              <a:lstStyle/>
              <a:p>
                <a:pPr>
                  <a:defRPr sz="800" b="1" i="0" u="none" strike="noStrike" baseline="0">
                    <a:solidFill>
                      <a:srgbClr val="000000"/>
                    </a:solidFill>
                    <a:latin typeface="Arial"/>
                    <a:ea typeface="Arial"/>
                    <a:cs typeface="Arial"/>
                  </a:defRPr>
                </a:pPr>
                <a:r>
                  <a:rPr lang="en-US" sz="800" baseline="0"/>
                  <a:t>Index Value at Expiration</a:t>
                </a:r>
              </a:p>
            </c:rich>
          </c:tx>
          <c:layout>
            <c:manualLayout>
              <c:xMode val="edge"/>
              <c:yMode val="edge"/>
              <c:x val="0.4330361915769701"/>
              <c:y val="0.93944439227890419"/>
            </c:manualLayout>
          </c:layout>
          <c:spPr>
            <a:noFill/>
            <a:ln w="25400">
              <a:noFill/>
            </a:ln>
          </c:spPr>
        </c:title>
        <c:numFmt formatCode="0" sourceLinked="0"/>
        <c:majorTickMark val="cross"/>
        <c:tickLblPos val="low"/>
        <c:spPr>
          <a:ln w="12700">
            <a:solidFill>
              <a:srgbClr val="000000"/>
            </a:solidFill>
            <a:prstDash val="solid"/>
          </a:ln>
        </c:spPr>
        <c:txPr>
          <a:bodyPr rot="-5400000" vert="horz"/>
          <a:lstStyle/>
          <a:p>
            <a:pPr>
              <a:defRPr sz="750" b="0" i="0" u="none" strike="noStrike" baseline="0">
                <a:solidFill>
                  <a:srgbClr val="000000"/>
                </a:solidFill>
                <a:latin typeface="Arial"/>
                <a:ea typeface="Arial"/>
                <a:cs typeface="Arial"/>
              </a:defRPr>
            </a:pPr>
            <a:endParaRPr lang="en-US"/>
          </a:p>
        </c:txPr>
        <c:crossAx val="208069760"/>
        <c:crosses val="autoZero"/>
        <c:auto val="1"/>
        <c:lblAlgn val="ctr"/>
        <c:lblOffset val="0"/>
        <c:tickLblSkip val="5"/>
      </c:catAx>
      <c:valAx>
        <c:axId val="208069760"/>
        <c:scaling>
          <c:orientation val="minMax"/>
        </c:scaling>
        <c:axPos val="l"/>
        <c:title>
          <c:tx>
            <c:rich>
              <a:bodyPr/>
              <a:lstStyle/>
              <a:p>
                <a:pPr>
                  <a:defRPr sz="800" b="1" i="0" u="none" strike="noStrike" baseline="0">
                    <a:solidFill>
                      <a:srgbClr val="000000"/>
                    </a:solidFill>
                    <a:latin typeface="Arial"/>
                    <a:ea typeface="Arial"/>
                    <a:cs typeface="Arial"/>
                  </a:defRPr>
                </a:pPr>
                <a:r>
                  <a:rPr lang="en-US" sz="800" baseline="0"/>
                  <a:t>Profit  ($100s)</a:t>
                </a:r>
              </a:p>
            </c:rich>
          </c:tx>
          <c:layout>
            <c:manualLayout>
              <c:xMode val="edge"/>
              <c:yMode val="edge"/>
              <c:x val="1.5624503359098707E-2"/>
              <c:y val="0.44680787133296029"/>
            </c:manualLayout>
          </c:layout>
          <c:spPr>
            <a:noFill/>
            <a:ln w="25400">
              <a:noFill/>
            </a:ln>
          </c:spPr>
        </c:title>
        <c:numFmt formatCode="0" sourceLinked="0"/>
        <c:majorTickMark val="cross"/>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8030720"/>
        <c:crosses val="autoZero"/>
        <c:crossBetween val="midCat"/>
        <c:dispUnits>
          <c:builtInUnit val="hundreds"/>
        </c:dispUnits>
      </c:valAx>
      <c:spPr>
        <a:solidFill>
          <a:srgbClr val="FFFFFF"/>
        </a:solidFill>
        <a:ln w="38100">
          <a:solidFill>
            <a:srgbClr val="000000"/>
          </a:solidFill>
          <a:prstDash val="solid"/>
        </a:ln>
      </c:spPr>
    </c:plotArea>
    <c:plotVisOnly val="1"/>
    <c:dispBlanksAs val="gap"/>
  </c:chart>
  <c:spPr>
    <a:solidFill>
      <a:sysClr val="window" lastClr="FFFFFF"/>
    </a:solidFill>
    <a:ln w="3175">
      <a:solidFill>
        <a:srgbClr val="000000"/>
      </a:solidFill>
      <a:prstDash val="solid"/>
    </a:ln>
    <a:effectLst>
      <a:outerShdw dist="35921" dir="2700000" algn="br">
        <a:srgbClr val="000000"/>
      </a:outerShdw>
    </a:effectLst>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900" b="1" i="0" u="none" strike="noStrike" baseline="0">
                <a:solidFill>
                  <a:srgbClr val="000000"/>
                </a:solidFill>
                <a:latin typeface="Arial"/>
                <a:ea typeface="Arial"/>
                <a:cs typeface="Arial"/>
              </a:defRPr>
            </a:pPr>
            <a:r>
              <a:rPr lang="en-US" sz="900" baseline="0"/>
              <a:t>Profit for OEX Straddle</a:t>
            </a:r>
          </a:p>
        </c:rich>
      </c:tx>
      <c:layout>
        <c:manualLayout>
          <c:xMode val="edge"/>
          <c:yMode val="edge"/>
          <c:x val="0.39397339537104031"/>
          <c:y val="1.9640133218642206E-2"/>
        </c:manualLayout>
      </c:layout>
      <c:spPr>
        <a:solidFill>
          <a:srgbClr val="FFFFFF"/>
        </a:solidFill>
        <a:ln w="3175">
          <a:solidFill>
            <a:srgbClr val="000000"/>
          </a:solidFill>
          <a:prstDash val="solid"/>
        </a:ln>
        <a:effectLst>
          <a:outerShdw dist="35921" dir="2700000" algn="br">
            <a:srgbClr val="000000"/>
          </a:outerShdw>
        </a:effectLst>
      </c:spPr>
    </c:title>
    <c:plotArea>
      <c:layout>
        <c:manualLayout>
          <c:layoutTarget val="inner"/>
          <c:xMode val="edge"/>
          <c:yMode val="edge"/>
          <c:x val="9.0401785714285698E-2"/>
          <c:y val="0.13093289689034607"/>
          <c:w val="0.88392857142858339"/>
          <c:h val="0.72504091653029545"/>
        </c:manualLayout>
      </c:layout>
      <c:lineChart>
        <c:grouping val="standard"/>
        <c:ser>
          <c:idx val="1"/>
          <c:order val="0"/>
          <c:spPr>
            <a:ln w="25400">
              <a:solidFill>
                <a:srgbClr val="000000"/>
              </a:solidFill>
              <a:prstDash val="solid"/>
            </a:ln>
          </c:spPr>
          <c:marker>
            <c:symbol val="none"/>
          </c:marker>
          <c:cat>
            <c:numRef>
              <c:f>'Strategy Inputs'!$A$44:$A$93</c:f>
              <c:numCache>
                <c:formatCode>0.00</c:formatCode>
                <c:ptCount val="50"/>
                <c:pt idx="0">
                  <c:v>650</c:v>
                </c:pt>
                <c:pt idx="1">
                  <c:v>652</c:v>
                </c:pt>
                <c:pt idx="2">
                  <c:v>654</c:v>
                </c:pt>
                <c:pt idx="3">
                  <c:v>656</c:v>
                </c:pt>
                <c:pt idx="4">
                  <c:v>658</c:v>
                </c:pt>
                <c:pt idx="5">
                  <c:v>660</c:v>
                </c:pt>
                <c:pt idx="6">
                  <c:v>662</c:v>
                </c:pt>
                <c:pt idx="7">
                  <c:v>664</c:v>
                </c:pt>
                <c:pt idx="8">
                  <c:v>666</c:v>
                </c:pt>
                <c:pt idx="9">
                  <c:v>668</c:v>
                </c:pt>
                <c:pt idx="10">
                  <c:v>670</c:v>
                </c:pt>
                <c:pt idx="11">
                  <c:v>672</c:v>
                </c:pt>
                <c:pt idx="12">
                  <c:v>674</c:v>
                </c:pt>
                <c:pt idx="13">
                  <c:v>676</c:v>
                </c:pt>
                <c:pt idx="14">
                  <c:v>678</c:v>
                </c:pt>
                <c:pt idx="15">
                  <c:v>680</c:v>
                </c:pt>
                <c:pt idx="16">
                  <c:v>682</c:v>
                </c:pt>
                <c:pt idx="17">
                  <c:v>684</c:v>
                </c:pt>
                <c:pt idx="18">
                  <c:v>686</c:v>
                </c:pt>
                <c:pt idx="19">
                  <c:v>688</c:v>
                </c:pt>
                <c:pt idx="20">
                  <c:v>690</c:v>
                </c:pt>
                <c:pt idx="21">
                  <c:v>692</c:v>
                </c:pt>
                <c:pt idx="22">
                  <c:v>694</c:v>
                </c:pt>
                <c:pt idx="23">
                  <c:v>696</c:v>
                </c:pt>
                <c:pt idx="24">
                  <c:v>698</c:v>
                </c:pt>
                <c:pt idx="25">
                  <c:v>700</c:v>
                </c:pt>
                <c:pt idx="26">
                  <c:v>702</c:v>
                </c:pt>
                <c:pt idx="27">
                  <c:v>704</c:v>
                </c:pt>
                <c:pt idx="28">
                  <c:v>706</c:v>
                </c:pt>
                <c:pt idx="29">
                  <c:v>708</c:v>
                </c:pt>
                <c:pt idx="30">
                  <c:v>710</c:v>
                </c:pt>
                <c:pt idx="31">
                  <c:v>712</c:v>
                </c:pt>
                <c:pt idx="32">
                  <c:v>714</c:v>
                </c:pt>
                <c:pt idx="33">
                  <c:v>716</c:v>
                </c:pt>
                <c:pt idx="34">
                  <c:v>718</c:v>
                </c:pt>
                <c:pt idx="35">
                  <c:v>720</c:v>
                </c:pt>
                <c:pt idx="36">
                  <c:v>722</c:v>
                </c:pt>
                <c:pt idx="37">
                  <c:v>724</c:v>
                </c:pt>
                <c:pt idx="38">
                  <c:v>726</c:v>
                </c:pt>
                <c:pt idx="39">
                  <c:v>728</c:v>
                </c:pt>
                <c:pt idx="40">
                  <c:v>730</c:v>
                </c:pt>
                <c:pt idx="41">
                  <c:v>732</c:v>
                </c:pt>
                <c:pt idx="42">
                  <c:v>734</c:v>
                </c:pt>
                <c:pt idx="43">
                  <c:v>736</c:v>
                </c:pt>
                <c:pt idx="44">
                  <c:v>738</c:v>
                </c:pt>
                <c:pt idx="45">
                  <c:v>740</c:v>
                </c:pt>
                <c:pt idx="46">
                  <c:v>742</c:v>
                </c:pt>
                <c:pt idx="47">
                  <c:v>744</c:v>
                </c:pt>
                <c:pt idx="48">
                  <c:v>746</c:v>
                </c:pt>
                <c:pt idx="49">
                  <c:v>748</c:v>
                </c:pt>
              </c:numCache>
            </c:numRef>
          </c:cat>
          <c:val>
            <c:numRef>
              <c:f>'Strategy Inputs'!$B$44:$B$93</c:f>
              <c:numCache>
                <c:formatCode>0.00</c:formatCode>
                <c:ptCount val="50"/>
                <c:pt idx="0">
                  <c:v>2235</c:v>
                </c:pt>
                <c:pt idx="1">
                  <c:v>2035</c:v>
                </c:pt>
                <c:pt idx="2">
                  <c:v>1835</c:v>
                </c:pt>
                <c:pt idx="3">
                  <c:v>1635</c:v>
                </c:pt>
                <c:pt idx="4">
                  <c:v>1435</c:v>
                </c:pt>
                <c:pt idx="5">
                  <c:v>1235</c:v>
                </c:pt>
                <c:pt idx="6">
                  <c:v>1035</c:v>
                </c:pt>
                <c:pt idx="7">
                  <c:v>835</c:v>
                </c:pt>
                <c:pt idx="8">
                  <c:v>635</c:v>
                </c:pt>
                <c:pt idx="9">
                  <c:v>435</c:v>
                </c:pt>
                <c:pt idx="10">
                  <c:v>235</c:v>
                </c:pt>
                <c:pt idx="11">
                  <c:v>35</c:v>
                </c:pt>
                <c:pt idx="12">
                  <c:v>-165</c:v>
                </c:pt>
                <c:pt idx="13">
                  <c:v>-365</c:v>
                </c:pt>
                <c:pt idx="14">
                  <c:v>-565</c:v>
                </c:pt>
                <c:pt idx="15">
                  <c:v>-765</c:v>
                </c:pt>
                <c:pt idx="16">
                  <c:v>-965</c:v>
                </c:pt>
                <c:pt idx="17">
                  <c:v>-1165</c:v>
                </c:pt>
                <c:pt idx="18">
                  <c:v>-1365</c:v>
                </c:pt>
                <c:pt idx="19">
                  <c:v>-1565</c:v>
                </c:pt>
                <c:pt idx="20">
                  <c:v>-1765</c:v>
                </c:pt>
                <c:pt idx="21">
                  <c:v>-1965</c:v>
                </c:pt>
                <c:pt idx="22">
                  <c:v>-2165</c:v>
                </c:pt>
                <c:pt idx="23">
                  <c:v>-2365</c:v>
                </c:pt>
                <c:pt idx="24">
                  <c:v>-2565</c:v>
                </c:pt>
                <c:pt idx="25">
                  <c:v>-2765</c:v>
                </c:pt>
                <c:pt idx="26">
                  <c:v>-2565</c:v>
                </c:pt>
                <c:pt idx="27">
                  <c:v>-2365</c:v>
                </c:pt>
                <c:pt idx="28">
                  <c:v>-2165</c:v>
                </c:pt>
                <c:pt idx="29">
                  <c:v>-1965</c:v>
                </c:pt>
                <c:pt idx="30">
                  <c:v>-1765</c:v>
                </c:pt>
                <c:pt idx="31">
                  <c:v>-1565</c:v>
                </c:pt>
                <c:pt idx="32">
                  <c:v>-1365</c:v>
                </c:pt>
                <c:pt idx="33">
                  <c:v>-1165</c:v>
                </c:pt>
                <c:pt idx="34">
                  <c:v>-965</c:v>
                </c:pt>
                <c:pt idx="35">
                  <c:v>-765</c:v>
                </c:pt>
                <c:pt idx="36">
                  <c:v>-565</c:v>
                </c:pt>
                <c:pt idx="37">
                  <c:v>-365</c:v>
                </c:pt>
                <c:pt idx="38">
                  <c:v>-165</c:v>
                </c:pt>
                <c:pt idx="39">
                  <c:v>35</c:v>
                </c:pt>
                <c:pt idx="40">
                  <c:v>235</c:v>
                </c:pt>
                <c:pt idx="41">
                  <c:v>435.00000000000028</c:v>
                </c:pt>
                <c:pt idx="42">
                  <c:v>635.00000000000023</c:v>
                </c:pt>
                <c:pt idx="43">
                  <c:v>835</c:v>
                </c:pt>
                <c:pt idx="44">
                  <c:v>1035</c:v>
                </c:pt>
                <c:pt idx="45">
                  <c:v>1235</c:v>
                </c:pt>
                <c:pt idx="46">
                  <c:v>1435</c:v>
                </c:pt>
                <c:pt idx="47">
                  <c:v>1635</c:v>
                </c:pt>
                <c:pt idx="48">
                  <c:v>1835</c:v>
                </c:pt>
                <c:pt idx="49">
                  <c:v>2035</c:v>
                </c:pt>
              </c:numCache>
            </c:numRef>
          </c:val>
          <c:smooth val="1"/>
        </c:ser>
        <c:marker val="1"/>
        <c:axId val="159827072"/>
        <c:axId val="159828992"/>
      </c:lineChart>
      <c:catAx>
        <c:axId val="159827072"/>
        <c:scaling>
          <c:orientation val="minMax"/>
        </c:scaling>
        <c:axPos val="b"/>
        <c:title>
          <c:tx>
            <c:rich>
              <a:bodyPr/>
              <a:lstStyle/>
              <a:p>
                <a:pPr>
                  <a:defRPr sz="800" b="1" i="0" u="none" strike="noStrike" baseline="0">
                    <a:solidFill>
                      <a:srgbClr val="000000"/>
                    </a:solidFill>
                    <a:latin typeface="Arial"/>
                    <a:ea typeface="Arial"/>
                    <a:cs typeface="Arial"/>
                  </a:defRPr>
                </a:pPr>
                <a:r>
                  <a:rPr lang="en-US" sz="800" baseline="0"/>
                  <a:t>Index Value at Expiration</a:t>
                </a:r>
              </a:p>
            </c:rich>
          </c:tx>
          <c:layout>
            <c:manualLayout>
              <c:xMode val="edge"/>
              <c:yMode val="edge"/>
              <c:x val="0.4330360295872111"/>
              <c:y val="0.93944409889940317"/>
            </c:manualLayout>
          </c:layout>
          <c:spPr>
            <a:noFill/>
            <a:ln w="25400">
              <a:noFill/>
            </a:ln>
          </c:spPr>
        </c:title>
        <c:numFmt formatCode="0" sourceLinked="0"/>
        <c:majorTickMark val="cross"/>
        <c:tickLblPos val="low"/>
        <c:spPr>
          <a:ln w="12700">
            <a:solidFill>
              <a:srgbClr val="000000"/>
            </a:solidFill>
            <a:prstDash val="solid"/>
          </a:ln>
        </c:spPr>
        <c:txPr>
          <a:bodyPr rot="-5400000" vert="horz"/>
          <a:lstStyle/>
          <a:p>
            <a:pPr>
              <a:defRPr sz="750" b="0" i="0" u="none" strike="noStrike" baseline="0">
                <a:solidFill>
                  <a:srgbClr val="000000"/>
                </a:solidFill>
                <a:latin typeface="Arial"/>
                <a:ea typeface="Arial"/>
                <a:cs typeface="Arial"/>
              </a:defRPr>
            </a:pPr>
            <a:endParaRPr lang="en-US"/>
          </a:p>
        </c:txPr>
        <c:crossAx val="159828992"/>
        <c:crosses val="autoZero"/>
        <c:auto val="1"/>
        <c:lblAlgn val="ctr"/>
        <c:lblOffset val="0"/>
        <c:tickLblSkip val="5"/>
        <c:tickMarkSkip val="1"/>
      </c:catAx>
      <c:valAx>
        <c:axId val="159828992"/>
        <c:scaling>
          <c:orientation val="minMax"/>
        </c:scaling>
        <c:axPos val="l"/>
        <c:title>
          <c:tx>
            <c:rich>
              <a:bodyPr/>
              <a:lstStyle/>
              <a:p>
                <a:pPr>
                  <a:defRPr sz="800" b="1" i="0" u="none" strike="noStrike" baseline="0">
                    <a:solidFill>
                      <a:srgbClr val="000000"/>
                    </a:solidFill>
                    <a:latin typeface="Arial"/>
                    <a:ea typeface="Arial"/>
                    <a:cs typeface="Arial"/>
                  </a:defRPr>
                </a:pPr>
                <a:r>
                  <a:rPr lang="en-US" sz="800"/>
                  <a:t>Profit  ($100s)</a:t>
                </a:r>
              </a:p>
            </c:rich>
          </c:tx>
          <c:layout>
            <c:manualLayout>
              <c:xMode val="edge"/>
              <c:yMode val="edge"/>
              <c:x val="1.5624671916010805E-2"/>
              <c:y val="0.44680809016520012"/>
            </c:manualLayout>
          </c:layout>
          <c:spPr>
            <a:noFill/>
            <a:ln w="25400">
              <a:noFill/>
            </a:ln>
          </c:spPr>
        </c:title>
        <c:numFmt formatCode="0" sourceLinked="0"/>
        <c:majorTickMark val="cross"/>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59827072"/>
        <c:crosses val="autoZero"/>
        <c:crossBetween val="midCat"/>
        <c:dispUnits>
          <c:builtInUnit val="hundreds"/>
        </c:dispUnits>
      </c:valAx>
      <c:spPr>
        <a:solidFill>
          <a:srgbClr val="FFFFFF"/>
        </a:solidFill>
        <a:ln w="38100">
          <a:solidFill>
            <a:srgbClr val="000000"/>
          </a:solidFill>
          <a:prstDash val="solid"/>
        </a:ln>
      </c:spPr>
    </c:plotArea>
    <c:plotVisOnly val="1"/>
    <c:dispBlanksAs val="gap"/>
  </c:chart>
  <c:spPr>
    <a:solidFill>
      <a:sysClr val="window" lastClr="FFFFFF"/>
    </a:solidFill>
    <a:ln w="3175">
      <a:solidFill>
        <a:srgbClr val="000000"/>
      </a:solidFill>
      <a:prstDash val="solid"/>
    </a:ln>
    <a:effectLst>
      <a:outerShdw dist="35921" dir="2700000" algn="br">
        <a:srgbClr val="000000"/>
      </a:outerShdw>
    </a:effectLst>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nchor="ctr" anchorCtr="0"/>
          <a:lstStyle/>
          <a:p>
            <a:pPr>
              <a:defRPr sz="1000" b="1" i="0" u="none" strike="noStrike" baseline="0">
                <a:solidFill>
                  <a:srgbClr val="000000"/>
                </a:solidFill>
                <a:latin typeface="Arial"/>
                <a:ea typeface="Arial"/>
                <a:cs typeface="Arial"/>
              </a:defRPr>
            </a:pPr>
            <a:r>
              <a:rPr lang="en-US" sz="900" baseline="0"/>
              <a:t>Profit for SPX Reverse Butterfly</a:t>
            </a:r>
          </a:p>
        </c:rich>
      </c:tx>
      <c:layout>
        <c:manualLayout>
          <c:xMode val="edge"/>
          <c:yMode val="edge"/>
          <c:x val="0.3939734649873663"/>
          <c:y val="1.9640210508491202E-2"/>
        </c:manualLayout>
      </c:layout>
      <c:spPr>
        <a:solidFill>
          <a:srgbClr val="FFFFFF"/>
        </a:solidFill>
        <a:ln w="3175">
          <a:solidFill>
            <a:srgbClr val="000000"/>
          </a:solidFill>
          <a:prstDash val="solid"/>
        </a:ln>
        <a:effectLst>
          <a:outerShdw dist="35921" dir="2700000" algn="br">
            <a:srgbClr val="000000"/>
          </a:outerShdw>
        </a:effectLst>
      </c:spPr>
    </c:title>
    <c:plotArea>
      <c:layout>
        <c:manualLayout>
          <c:layoutTarget val="inner"/>
          <c:xMode val="edge"/>
          <c:yMode val="edge"/>
          <c:x val="9.0401785714285698E-2"/>
          <c:y val="0.13093289689034607"/>
          <c:w val="0.88392857142858339"/>
          <c:h val="0.72504091653029545"/>
        </c:manualLayout>
      </c:layout>
      <c:lineChart>
        <c:grouping val="standard"/>
        <c:ser>
          <c:idx val="1"/>
          <c:order val="0"/>
          <c:spPr>
            <a:ln w="25400">
              <a:solidFill>
                <a:srgbClr val="000000"/>
              </a:solidFill>
              <a:prstDash val="solid"/>
            </a:ln>
          </c:spPr>
          <c:marker>
            <c:symbol val="none"/>
          </c:marker>
          <c:cat>
            <c:numRef>
              <c:f>'Strategy Inputs'!$A$44:$A$93</c:f>
              <c:numCache>
                <c:formatCode>0.00</c:formatCode>
                <c:ptCount val="50"/>
                <c:pt idx="0">
                  <c:v>1420</c:v>
                </c:pt>
                <c:pt idx="1">
                  <c:v>1424</c:v>
                </c:pt>
                <c:pt idx="2">
                  <c:v>1428</c:v>
                </c:pt>
                <c:pt idx="3">
                  <c:v>1432</c:v>
                </c:pt>
                <c:pt idx="4">
                  <c:v>1436</c:v>
                </c:pt>
                <c:pt idx="5">
                  <c:v>1440</c:v>
                </c:pt>
                <c:pt idx="6">
                  <c:v>1444</c:v>
                </c:pt>
                <c:pt idx="7">
                  <c:v>1448</c:v>
                </c:pt>
                <c:pt idx="8">
                  <c:v>1452</c:v>
                </c:pt>
                <c:pt idx="9">
                  <c:v>1456</c:v>
                </c:pt>
                <c:pt idx="10">
                  <c:v>1460</c:v>
                </c:pt>
                <c:pt idx="11">
                  <c:v>1464</c:v>
                </c:pt>
                <c:pt idx="12">
                  <c:v>1468</c:v>
                </c:pt>
                <c:pt idx="13">
                  <c:v>1472</c:v>
                </c:pt>
                <c:pt idx="14">
                  <c:v>1476</c:v>
                </c:pt>
                <c:pt idx="15">
                  <c:v>1480</c:v>
                </c:pt>
                <c:pt idx="16">
                  <c:v>1484</c:v>
                </c:pt>
                <c:pt idx="17">
                  <c:v>1488</c:v>
                </c:pt>
                <c:pt idx="18">
                  <c:v>1492</c:v>
                </c:pt>
                <c:pt idx="19">
                  <c:v>1496</c:v>
                </c:pt>
                <c:pt idx="20">
                  <c:v>1500</c:v>
                </c:pt>
                <c:pt idx="21">
                  <c:v>1504</c:v>
                </c:pt>
                <c:pt idx="22">
                  <c:v>1508</c:v>
                </c:pt>
                <c:pt idx="23">
                  <c:v>1512</c:v>
                </c:pt>
                <c:pt idx="24">
                  <c:v>1516</c:v>
                </c:pt>
                <c:pt idx="25">
                  <c:v>1520</c:v>
                </c:pt>
                <c:pt idx="26">
                  <c:v>1524</c:v>
                </c:pt>
                <c:pt idx="27">
                  <c:v>1528</c:v>
                </c:pt>
                <c:pt idx="28">
                  <c:v>1532</c:v>
                </c:pt>
                <c:pt idx="29">
                  <c:v>1536</c:v>
                </c:pt>
                <c:pt idx="30">
                  <c:v>1540</c:v>
                </c:pt>
                <c:pt idx="31">
                  <c:v>1544</c:v>
                </c:pt>
                <c:pt idx="32">
                  <c:v>1548</c:v>
                </c:pt>
                <c:pt idx="33">
                  <c:v>1552</c:v>
                </c:pt>
                <c:pt idx="34">
                  <c:v>1556</c:v>
                </c:pt>
                <c:pt idx="35">
                  <c:v>1560</c:v>
                </c:pt>
                <c:pt idx="36">
                  <c:v>1564</c:v>
                </c:pt>
                <c:pt idx="37">
                  <c:v>1568</c:v>
                </c:pt>
                <c:pt idx="38">
                  <c:v>1572</c:v>
                </c:pt>
                <c:pt idx="39">
                  <c:v>1576</c:v>
                </c:pt>
                <c:pt idx="40">
                  <c:v>1580</c:v>
                </c:pt>
                <c:pt idx="41">
                  <c:v>1584</c:v>
                </c:pt>
                <c:pt idx="42">
                  <c:v>1588</c:v>
                </c:pt>
                <c:pt idx="43">
                  <c:v>1592</c:v>
                </c:pt>
                <c:pt idx="44">
                  <c:v>1596</c:v>
                </c:pt>
                <c:pt idx="45">
                  <c:v>1600</c:v>
                </c:pt>
                <c:pt idx="46">
                  <c:v>1604</c:v>
                </c:pt>
                <c:pt idx="47">
                  <c:v>1608</c:v>
                </c:pt>
                <c:pt idx="48">
                  <c:v>1612</c:v>
                </c:pt>
                <c:pt idx="49">
                  <c:v>1616</c:v>
                </c:pt>
              </c:numCache>
            </c:numRef>
          </c:cat>
          <c:val>
            <c:numRef>
              <c:f>'Strategy Inputs'!$B$44:$B$93</c:f>
              <c:numCache>
                <c:formatCode>0.00</c:formatCode>
                <c:ptCount val="50"/>
                <c:pt idx="0">
                  <c:v>20</c:v>
                </c:pt>
                <c:pt idx="1">
                  <c:v>20</c:v>
                </c:pt>
                <c:pt idx="2">
                  <c:v>20</c:v>
                </c:pt>
                <c:pt idx="3">
                  <c:v>20</c:v>
                </c:pt>
                <c:pt idx="4">
                  <c:v>20</c:v>
                </c:pt>
                <c:pt idx="5">
                  <c:v>20</c:v>
                </c:pt>
                <c:pt idx="6">
                  <c:v>20</c:v>
                </c:pt>
                <c:pt idx="7">
                  <c:v>20</c:v>
                </c:pt>
                <c:pt idx="8">
                  <c:v>20</c:v>
                </c:pt>
                <c:pt idx="9">
                  <c:v>20</c:v>
                </c:pt>
                <c:pt idx="10">
                  <c:v>20</c:v>
                </c:pt>
                <c:pt idx="11">
                  <c:v>20</c:v>
                </c:pt>
                <c:pt idx="12">
                  <c:v>20</c:v>
                </c:pt>
                <c:pt idx="13">
                  <c:v>20</c:v>
                </c:pt>
                <c:pt idx="14">
                  <c:v>20</c:v>
                </c:pt>
                <c:pt idx="15">
                  <c:v>20</c:v>
                </c:pt>
                <c:pt idx="16">
                  <c:v>20</c:v>
                </c:pt>
                <c:pt idx="17">
                  <c:v>20</c:v>
                </c:pt>
                <c:pt idx="18">
                  <c:v>20</c:v>
                </c:pt>
                <c:pt idx="19">
                  <c:v>20</c:v>
                </c:pt>
                <c:pt idx="20">
                  <c:v>20</c:v>
                </c:pt>
                <c:pt idx="21">
                  <c:v>20</c:v>
                </c:pt>
                <c:pt idx="22">
                  <c:v>20</c:v>
                </c:pt>
                <c:pt idx="23">
                  <c:v>20</c:v>
                </c:pt>
                <c:pt idx="24">
                  <c:v>-80</c:v>
                </c:pt>
                <c:pt idx="25">
                  <c:v>-480</c:v>
                </c:pt>
                <c:pt idx="26">
                  <c:v>-80</c:v>
                </c:pt>
                <c:pt idx="27">
                  <c:v>20</c:v>
                </c:pt>
                <c:pt idx="28">
                  <c:v>20</c:v>
                </c:pt>
                <c:pt idx="29">
                  <c:v>20.000000000000451</c:v>
                </c:pt>
                <c:pt idx="30">
                  <c:v>20.000000000000451</c:v>
                </c:pt>
                <c:pt idx="31">
                  <c:v>20.000000000000227</c:v>
                </c:pt>
                <c:pt idx="32">
                  <c:v>20.000000000000227</c:v>
                </c:pt>
                <c:pt idx="33">
                  <c:v>20.000000000000327</c:v>
                </c:pt>
                <c:pt idx="34">
                  <c:v>20.000000000000259</c:v>
                </c:pt>
                <c:pt idx="35">
                  <c:v>20.000000000000227</c:v>
                </c:pt>
                <c:pt idx="36">
                  <c:v>20.000000000000327</c:v>
                </c:pt>
                <c:pt idx="37">
                  <c:v>20.000000000000451</c:v>
                </c:pt>
                <c:pt idx="38">
                  <c:v>20.000000000000451</c:v>
                </c:pt>
                <c:pt idx="39">
                  <c:v>19.999999999999769</c:v>
                </c:pt>
                <c:pt idx="40">
                  <c:v>20</c:v>
                </c:pt>
                <c:pt idx="41">
                  <c:v>20</c:v>
                </c:pt>
                <c:pt idx="42">
                  <c:v>20</c:v>
                </c:pt>
                <c:pt idx="43">
                  <c:v>20</c:v>
                </c:pt>
                <c:pt idx="44">
                  <c:v>20</c:v>
                </c:pt>
                <c:pt idx="45">
                  <c:v>20</c:v>
                </c:pt>
                <c:pt idx="46">
                  <c:v>20</c:v>
                </c:pt>
                <c:pt idx="47">
                  <c:v>20</c:v>
                </c:pt>
                <c:pt idx="48">
                  <c:v>20</c:v>
                </c:pt>
                <c:pt idx="49">
                  <c:v>20</c:v>
                </c:pt>
              </c:numCache>
            </c:numRef>
          </c:val>
          <c:smooth val="1"/>
        </c:ser>
        <c:marker val="1"/>
        <c:axId val="208047104"/>
        <c:axId val="112407680"/>
      </c:lineChart>
      <c:catAx>
        <c:axId val="208047104"/>
        <c:scaling>
          <c:orientation val="minMax"/>
        </c:scaling>
        <c:axPos val="b"/>
        <c:title>
          <c:tx>
            <c:rich>
              <a:bodyPr/>
              <a:lstStyle/>
              <a:p>
                <a:pPr>
                  <a:defRPr sz="800" b="1" i="0" u="none" strike="noStrike" baseline="0">
                    <a:solidFill>
                      <a:srgbClr val="000000"/>
                    </a:solidFill>
                    <a:latin typeface="Arial"/>
                    <a:ea typeface="Arial"/>
                    <a:cs typeface="Arial"/>
                  </a:defRPr>
                </a:pPr>
                <a:r>
                  <a:rPr lang="en-US" sz="800"/>
                  <a:t>Index</a:t>
                </a:r>
                <a:r>
                  <a:rPr lang="en-US" sz="800" baseline="0"/>
                  <a:t> Value</a:t>
                </a:r>
                <a:r>
                  <a:rPr lang="en-US" sz="800"/>
                  <a:t> at Expiration</a:t>
                </a:r>
              </a:p>
            </c:rich>
          </c:tx>
          <c:layout>
            <c:manualLayout>
              <c:xMode val="edge"/>
              <c:yMode val="edge"/>
              <c:x val="0.43303615080151592"/>
              <c:y val="0.93944431818689123"/>
            </c:manualLayout>
          </c:layout>
          <c:spPr>
            <a:noFill/>
            <a:ln w="25400">
              <a:noFill/>
            </a:ln>
          </c:spPr>
        </c:title>
        <c:numFmt formatCode="0" sourceLinked="0"/>
        <c:majorTickMark val="cross"/>
        <c:tickLblPos val="low"/>
        <c:spPr>
          <a:ln w="12700">
            <a:solidFill>
              <a:srgbClr val="000000"/>
            </a:solidFill>
            <a:prstDash val="solid"/>
          </a:ln>
        </c:spPr>
        <c:txPr>
          <a:bodyPr rot="-5400000" vert="horz"/>
          <a:lstStyle/>
          <a:p>
            <a:pPr>
              <a:defRPr sz="750" b="0" i="0" u="none" strike="noStrike" baseline="0">
                <a:solidFill>
                  <a:srgbClr val="000000"/>
                </a:solidFill>
                <a:latin typeface="Arial"/>
                <a:ea typeface="Arial"/>
                <a:cs typeface="Arial"/>
              </a:defRPr>
            </a:pPr>
            <a:endParaRPr lang="en-US"/>
          </a:p>
        </c:txPr>
        <c:crossAx val="112407680"/>
        <c:crosses val="autoZero"/>
        <c:auto val="1"/>
        <c:lblAlgn val="ctr"/>
        <c:lblOffset val="0"/>
        <c:tickLblSkip val="5"/>
        <c:tickMarkSkip val="1"/>
      </c:catAx>
      <c:valAx>
        <c:axId val="112407680"/>
        <c:scaling>
          <c:orientation val="minMax"/>
        </c:scaling>
        <c:axPos val="l"/>
        <c:title>
          <c:tx>
            <c:rich>
              <a:bodyPr/>
              <a:lstStyle/>
              <a:p>
                <a:pPr>
                  <a:defRPr sz="800" b="1" i="0" u="none" strike="noStrike" baseline="0">
                    <a:solidFill>
                      <a:srgbClr val="000000"/>
                    </a:solidFill>
                    <a:latin typeface="Arial"/>
                    <a:ea typeface="Arial"/>
                    <a:cs typeface="Arial"/>
                  </a:defRPr>
                </a:pPr>
                <a:r>
                  <a:rPr lang="en-US" sz="800"/>
                  <a:t>Profit  ($100s)</a:t>
                </a:r>
              </a:p>
            </c:rich>
          </c:tx>
          <c:layout>
            <c:manualLayout>
              <c:xMode val="edge"/>
              <c:yMode val="edge"/>
              <c:x val="1.5624545787612007E-2"/>
              <c:y val="0.44680792659830892"/>
            </c:manualLayout>
          </c:layout>
          <c:spPr>
            <a:noFill/>
            <a:ln w="25400">
              <a:noFill/>
            </a:ln>
          </c:spPr>
        </c:title>
        <c:numFmt formatCode="0" sourceLinked="0"/>
        <c:majorTickMark val="cross"/>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8047104"/>
        <c:crosses val="autoZero"/>
        <c:crossBetween val="midCat"/>
        <c:dispUnits>
          <c:builtInUnit val="hundreds"/>
        </c:dispUnits>
      </c:valAx>
      <c:spPr>
        <a:solidFill>
          <a:srgbClr val="FFFFFF"/>
        </a:solidFill>
        <a:ln w="38100">
          <a:solidFill>
            <a:srgbClr val="000000"/>
          </a:solidFill>
          <a:prstDash val="solid"/>
        </a:ln>
      </c:spPr>
    </c:plotArea>
    <c:plotVisOnly val="1"/>
    <c:dispBlanksAs val="gap"/>
  </c:chart>
  <c:spPr>
    <a:solidFill>
      <a:sysClr val="window" lastClr="FFFFFF"/>
    </a:solidFill>
    <a:ln w="3175">
      <a:solidFill>
        <a:srgbClr val="000000"/>
      </a:solidFill>
      <a:prstDash val="solid"/>
    </a:ln>
    <a:effectLst>
      <a:outerShdw dist="35921" dir="2700000" algn="br">
        <a:srgbClr val="000000"/>
      </a:outerShdw>
    </a:effectLst>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000" b="1" i="0" u="none" strike="noStrike" baseline="0">
                <a:solidFill>
                  <a:srgbClr val="000000"/>
                </a:solidFill>
                <a:latin typeface="Arial"/>
                <a:ea typeface="Arial"/>
                <a:cs typeface="Arial"/>
              </a:defRPr>
            </a:pPr>
            <a:r>
              <a:rPr lang="en-US" sz="900" baseline="0"/>
              <a:t>Profit for OEX Reverse Butterfly             </a:t>
            </a:r>
          </a:p>
        </c:rich>
      </c:tx>
      <c:layout>
        <c:manualLayout>
          <c:xMode val="edge"/>
          <c:yMode val="edge"/>
          <c:x val="0.39397334948516111"/>
          <c:y val="1.9640082552285301E-2"/>
        </c:manualLayout>
      </c:layout>
      <c:spPr>
        <a:solidFill>
          <a:srgbClr val="FFFFFF"/>
        </a:solidFill>
        <a:ln w="3175">
          <a:solidFill>
            <a:srgbClr val="000000"/>
          </a:solidFill>
          <a:prstDash val="solid"/>
        </a:ln>
        <a:effectLst>
          <a:outerShdw dist="35921" dir="2700000" algn="br">
            <a:srgbClr val="000000"/>
          </a:outerShdw>
        </a:effectLst>
      </c:spPr>
    </c:title>
    <c:plotArea>
      <c:layout>
        <c:manualLayout>
          <c:layoutTarget val="inner"/>
          <c:xMode val="edge"/>
          <c:yMode val="edge"/>
          <c:x val="9.0401785714285698E-2"/>
          <c:y val="0.13093289689034607"/>
          <c:w val="0.88392857142858339"/>
          <c:h val="0.72504091653029545"/>
        </c:manualLayout>
      </c:layout>
      <c:lineChart>
        <c:grouping val="standard"/>
        <c:ser>
          <c:idx val="1"/>
          <c:order val="0"/>
          <c:spPr>
            <a:ln w="25400">
              <a:solidFill>
                <a:srgbClr val="000000"/>
              </a:solidFill>
              <a:prstDash val="solid"/>
            </a:ln>
          </c:spPr>
          <c:marker>
            <c:symbol val="none"/>
          </c:marker>
          <c:cat>
            <c:numRef>
              <c:f>'Strategy Inputs'!$A$44:$A$93</c:f>
              <c:numCache>
                <c:formatCode>0.00</c:formatCode>
                <c:ptCount val="50"/>
                <c:pt idx="0">
                  <c:v>650</c:v>
                </c:pt>
                <c:pt idx="1">
                  <c:v>652</c:v>
                </c:pt>
                <c:pt idx="2">
                  <c:v>654</c:v>
                </c:pt>
                <c:pt idx="3">
                  <c:v>656</c:v>
                </c:pt>
                <c:pt idx="4">
                  <c:v>658</c:v>
                </c:pt>
                <c:pt idx="5">
                  <c:v>660</c:v>
                </c:pt>
                <c:pt idx="6">
                  <c:v>662</c:v>
                </c:pt>
                <c:pt idx="7">
                  <c:v>664</c:v>
                </c:pt>
                <c:pt idx="8">
                  <c:v>666</c:v>
                </c:pt>
                <c:pt idx="9">
                  <c:v>668</c:v>
                </c:pt>
                <c:pt idx="10">
                  <c:v>670</c:v>
                </c:pt>
                <c:pt idx="11">
                  <c:v>672</c:v>
                </c:pt>
                <c:pt idx="12">
                  <c:v>674</c:v>
                </c:pt>
                <c:pt idx="13">
                  <c:v>676</c:v>
                </c:pt>
                <c:pt idx="14">
                  <c:v>678</c:v>
                </c:pt>
                <c:pt idx="15">
                  <c:v>680</c:v>
                </c:pt>
                <c:pt idx="16">
                  <c:v>682</c:v>
                </c:pt>
                <c:pt idx="17">
                  <c:v>684</c:v>
                </c:pt>
                <c:pt idx="18">
                  <c:v>686</c:v>
                </c:pt>
                <c:pt idx="19">
                  <c:v>688</c:v>
                </c:pt>
                <c:pt idx="20">
                  <c:v>690</c:v>
                </c:pt>
                <c:pt idx="21">
                  <c:v>692</c:v>
                </c:pt>
                <c:pt idx="22">
                  <c:v>694</c:v>
                </c:pt>
                <c:pt idx="23">
                  <c:v>696</c:v>
                </c:pt>
                <c:pt idx="24">
                  <c:v>698</c:v>
                </c:pt>
                <c:pt idx="25">
                  <c:v>700</c:v>
                </c:pt>
                <c:pt idx="26">
                  <c:v>702</c:v>
                </c:pt>
                <c:pt idx="27">
                  <c:v>704</c:v>
                </c:pt>
                <c:pt idx="28">
                  <c:v>706</c:v>
                </c:pt>
                <c:pt idx="29">
                  <c:v>708</c:v>
                </c:pt>
                <c:pt idx="30">
                  <c:v>710</c:v>
                </c:pt>
                <c:pt idx="31">
                  <c:v>712</c:v>
                </c:pt>
                <c:pt idx="32">
                  <c:v>714</c:v>
                </c:pt>
                <c:pt idx="33">
                  <c:v>716</c:v>
                </c:pt>
                <c:pt idx="34">
                  <c:v>718</c:v>
                </c:pt>
                <c:pt idx="35">
                  <c:v>720</c:v>
                </c:pt>
                <c:pt idx="36">
                  <c:v>722</c:v>
                </c:pt>
                <c:pt idx="37">
                  <c:v>724</c:v>
                </c:pt>
                <c:pt idx="38">
                  <c:v>726</c:v>
                </c:pt>
                <c:pt idx="39">
                  <c:v>728</c:v>
                </c:pt>
                <c:pt idx="40">
                  <c:v>730</c:v>
                </c:pt>
                <c:pt idx="41">
                  <c:v>732</c:v>
                </c:pt>
                <c:pt idx="42">
                  <c:v>734</c:v>
                </c:pt>
                <c:pt idx="43">
                  <c:v>736</c:v>
                </c:pt>
                <c:pt idx="44">
                  <c:v>738</c:v>
                </c:pt>
                <c:pt idx="45">
                  <c:v>740</c:v>
                </c:pt>
                <c:pt idx="46">
                  <c:v>742</c:v>
                </c:pt>
                <c:pt idx="47">
                  <c:v>744</c:v>
                </c:pt>
                <c:pt idx="48">
                  <c:v>746</c:v>
                </c:pt>
                <c:pt idx="49">
                  <c:v>748</c:v>
                </c:pt>
              </c:numCache>
            </c:numRef>
          </c:cat>
          <c:val>
            <c:numRef>
              <c:f>'Strategy Inputs'!$B$44:$B$93</c:f>
              <c:numCache>
                <c:formatCode>0.00</c:formatCode>
                <c:ptCount val="50"/>
                <c:pt idx="0">
                  <c:v>50</c:v>
                </c:pt>
                <c:pt idx="1">
                  <c:v>50</c:v>
                </c:pt>
                <c:pt idx="2">
                  <c:v>50</c:v>
                </c:pt>
                <c:pt idx="3">
                  <c:v>50</c:v>
                </c:pt>
                <c:pt idx="4">
                  <c:v>50</c:v>
                </c:pt>
                <c:pt idx="5">
                  <c:v>50</c:v>
                </c:pt>
                <c:pt idx="6">
                  <c:v>50</c:v>
                </c:pt>
                <c:pt idx="7">
                  <c:v>50</c:v>
                </c:pt>
                <c:pt idx="8">
                  <c:v>50</c:v>
                </c:pt>
                <c:pt idx="9">
                  <c:v>50</c:v>
                </c:pt>
                <c:pt idx="10">
                  <c:v>50</c:v>
                </c:pt>
                <c:pt idx="11">
                  <c:v>50</c:v>
                </c:pt>
                <c:pt idx="12">
                  <c:v>50</c:v>
                </c:pt>
                <c:pt idx="13">
                  <c:v>50</c:v>
                </c:pt>
                <c:pt idx="14">
                  <c:v>50</c:v>
                </c:pt>
                <c:pt idx="15">
                  <c:v>50</c:v>
                </c:pt>
                <c:pt idx="16">
                  <c:v>50</c:v>
                </c:pt>
                <c:pt idx="17">
                  <c:v>50</c:v>
                </c:pt>
                <c:pt idx="18">
                  <c:v>50</c:v>
                </c:pt>
                <c:pt idx="19">
                  <c:v>50</c:v>
                </c:pt>
                <c:pt idx="20">
                  <c:v>50</c:v>
                </c:pt>
                <c:pt idx="21">
                  <c:v>50</c:v>
                </c:pt>
                <c:pt idx="22">
                  <c:v>50</c:v>
                </c:pt>
                <c:pt idx="23">
                  <c:v>-50</c:v>
                </c:pt>
                <c:pt idx="24">
                  <c:v>-250</c:v>
                </c:pt>
                <c:pt idx="25">
                  <c:v>-450</c:v>
                </c:pt>
                <c:pt idx="26">
                  <c:v>-250</c:v>
                </c:pt>
                <c:pt idx="27">
                  <c:v>-50</c:v>
                </c:pt>
                <c:pt idx="28">
                  <c:v>50</c:v>
                </c:pt>
                <c:pt idx="29">
                  <c:v>50.000000000000107</c:v>
                </c:pt>
                <c:pt idx="30">
                  <c:v>50</c:v>
                </c:pt>
                <c:pt idx="31">
                  <c:v>50</c:v>
                </c:pt>
                <c:pt idx="32">
                  <c:v>50</c:v>
                </c:pt>
                <c:pt idx="33">
                  <c:v>50.000000000000007</c:v>
                </c:pt>
                <c:pt idx="34">
                  <c:v>50</c:v>
                </c:pt>
                <c:pt idx="35">
                  <c:v>50.000000000000057</c:v>
                </c:pt>
                <c:pt idx="36">
                  <c:v>50.000000000000107</c:v>
                </c:pt>
                <c:pt idx="37">
                  <c:v>50.000000000000107</c:v>
                </c:pt>
                <c:pt idx="38">
                  <c:v>50.000000000000107</c:v>
                </c:pt>
                <c:pt idx="39">
                  <c:v>50</c:v>
                </c:pt>
                <c:pt idx="40">
                  <c:v>50</c:v>
                </c:pt>
                <c:pt idx="41">
                  <c:v>50.000000000000448</c:v>
                </c:pt>
                <c:pt idx="42">
                  <c:v>50.000000000000448</c:v>
                </c:pt>
                <c:pt idx="43">
                  <c:v>50</c:v>
                </c:pt>
                <c:pt idx="44">
                  <c:v>50</c:v>
                </c:pt>
                <c:pt idx="45">
                  <c:v>50</c:v>
                </c:pt>
                <c:pt idx="46">
                  <c:v>50</c:v>
                </c:pt>
                <c:pt idx="47">
                  <c:v>50</c:v>
                </c:pt>
                <c:pt idx="48">
                  <c:v>50</c:v>
                </c:pt>
                <c:pt idx="49">
                  <c:v>50</c:v>
                </c:pt>
              </c:numCache>
            </c:numRef>
          </c:val>
          <c:smooth val="1"/>
        </c:ser>
        <c:marker val="1"/>
        <c:axId val="112448640"/>
        <c:axId val="112450560"/>
      </c:lineChart>
      <c:catAx>
        <c:axId val="112448640"/>
        <c:scaling>
          <c:orientation val="minMax"/>
        </c:scaling>
        <c:axPos val="b"/>
        <c:title>
          <c:tx>
            <c:rich>
              <a:bodyPr/>
              <a:lstStyle/>
              <a:p>
                <a:pPr>
                  <a:defRPr sz="800" b="1" i="0" u="none" strike="noStrike" baseline="0">
                    <a:solidFill>
                      <a:srgbClr val="000000"/>
                    </a:solidFill>
                    <a:latin typeface="Arial"/>
                    <a:ea typeface="Arial"/>
                    <a:cs typeface="Arial"/>
                  </a:defRPr>
                </a:pPr>
                <a:r>
                  <a:rPr lang="en-US" sz="800"/>
                  <a:t>Index</a:t>
                </a:r>
                <a:r>
                  <a:rPr lang="en-US" sz="800" baseline="0"/>
                  <a:t> Value</a:t>
                </a:r>
                <a:r>
                  <a:rPr lang="en-US" sz="800"/>
                  <a:t> at Expiration</a:t>
                </a:r>
              </a:p>
            </c:rich>
          </c:tx>
          <c:layout>
            <c:manualLayout>
              <c:xMode val="edge"/>
              <c:yMode val="edge"/>
              <c:x val="0.43303594969180909"/>
              <c:y val="0.939443955148344"/>
            </c:manualLayout>
          </c:layout>
          <c:spPr>
            <a:noFill/>
            <a:ln w="25400">
              <a:noFill/>
            </a:ln>
          </c:spPr>
        </c:title>
        <c:numFmt formatCode="0" sourceLinked="0"/>
        <c:majorTickMark val="cross"/>
        <c:tickLblPos val="low"/>
        <c:spPr>
          <a:ln w="12700">
            <a:solidFill>
              <a:srgbClr val="000000"/>
            </a:solidFill>
            <a:prstDash val="solid"/>
          </a:ln>
        </c:spPr>
        <c:txPr>
          <a:bodyPr rot="-5400000" vert="horz"/>
          <a:lstStyle/>
          <a:p>
            <a:pPr>
              <a:defRPr sz="750" b="0" i="0" u="none" strike="noStrike" baseline="0">
                <a:solidFill>
                  <a:srgbClr val="000000"/>
                </a:solidFill>
                <a:latin typeface="Arial"/>
                <a:ea typeface="Arial"/>
                <a:cs typeface="Arial"/>
              </a:defRPr>
            </a:pPr>
            <a:endParaRPr lang="en-US"/>
          </a:p>
        </c:txPr>
        <c:crossAx val="112450560"/>
        <c:crosses val="autoZero"/>
        <c:auto val="1"/>
        <c:lblAlgn val="ctr"/>
        <c:lblOffset val="0"/>
        <c:tickLblSkip val="5"/>
        <c:tickMarkSkip val="1"/>
      </c:catAx>
      <c:valAx>
        <c:axId val="112450560"/>
        <c:scaling>
          <c:orientation val="minMax"/>
        </c:scaling>
        <c:axPos val="l"/>
        <c:title>
          <c:tx>
            <c:rich>
              <a:bodyPr/>
              <a:lstStyle/>
              <a:p>
                <a:pPr>
                  <a:defRPr sz="800" b="1" i="0" u="none" strike="noStrike" baseline="0">
                    <a:solidFill>
                      <a:srgbClr val="000000"/>
                    </a:solidFill>
                    <a:latin typeface="Arial"/>
                    <a:ea typeface="Arial"/>
                    <a:cs typeface="Arial"/>
                  </a:defRPr>
                </a:pPr>
                <a:r>
                  <a:rPr lang="en-US" sz="800"/>
                  <a:t>Profit  ($100s)</a:t>
                </a:r>
              </a:p>
            </c:rich>
          </c:tx>
          <c:layout>
            <c:manualLayout>
              <c:xMode val="edge"/>
              <c:yMode val="edge"/>
              <c:x val="1.5624755050415407E-2"/>
              <c:y val="0.44680819738935823"/>
            </c:manualLayout>
          </c:layout>
          <c:spPr>
            <a:noFill/>
            <a:ln w="25400">
              <a:noFill/>
            </a:ln>
          </c:spPr>
        </c:title>
        <c:numFmt formatCode="0" sourceLinked="0"/>
        <c:majorTickMark val="cross"/>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12448640"/>
        <c:crosses val="autoZero"/>
        <c:crossBetween val="midCat"/>
        <c:dispUnits>
          <c:builtInUnit val="hundreds"/>
        </c:dispUnits>
      </c:valAx>
      <c:spPr>
        <a:solidFill>
          <a:srgbClr val="FFFFFF"/>
        </a:solidFill>
        <a:ln w="38100">
          <a:solidFill>
            <a:srgbClr val="000000"/>
          </a:solidFill>
          <a:prstDash val="solid"/>
        </a:ln>
      </c:spPr>
    </c:plotArea>
    <c:plotVisOnly val="1"/>
    <c:dispBlanksAs val="gap"/>
  </c:chart>
  <c:spPr>
    <a:solidFill>
      <a:sysClr val="window" lastClr="FFFFFF"/>
    </a:solidFill>
    <a:ln w="3175">
      <a:solidFill>
        <a:srgbClr val="000000"/>
      </a:solidFill>
      <a:prstDash val="solid"/>
    </a:ln>
    <a:effectLst>
      <a:outerShdw dist="35921" dir="2700000" algn="br">
        <a:srgbClr val="000000"/>
      </a:outerShdw>
    </a:effectLst>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1186</Words>
  <Characters>6766</Characters>
  <Application>Microsoft Office Word</Application>
  <DocSecurity>0</DocSecurity>
  <Lines>56</Lines>
  <Paragraphs>15</Paragraphs>
  <ScaleCrop>false</ScaleCrop>
  <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2017-11-12T21:27:00Z</dcterms:created>
  <dcterms:modified xsi:type="dcterms:W3CDTF">2017-11-12T21:27:00Z</dcterms:modified>
</cp:coreProperties>
</file>